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b/>
          <w:bCs/>
          <w:sz w:val="36"/>
          <w:szCs w:val="36"/>
        </w:rPr>
      </w:pPr>
      <w:bookmarkStart w:id="0" w:name="_GoBack"/>
      <w:bookmarkEnd w:id="0"/>
      <w:r>
        <w:rPr>
          <w:rFonts w:hint="eastAsia" w:ascii="华文中宋" w:hAnsi="华文中宋" w:eastAsia="华文中宋" w:cs="华文中宋"/>
          <w:b/>
          <w:bCs/>
          <w:sz w:val="36"/>
          <w:szCs w:val="36"/>
        </w:rPr>
        <w:t>《城市配送网络体系建设指南》编制说明</w:t>
      </w:r>
    </w:p>
    <w:p>
      <w:pPr>
        <w:spacing w:line="360" w:lineRule="auto"/>
        <w:rPr>
          <w:rFonts w:ascii="黑体" w:hAnsi="黑体" w:eastAsia="黑体" w:cs="黑体"/>
          <w:bCs/>
          <w:sz w:val="32"/>
          <w:szCs w:val="32"/>
        </w:rPr>
      </w:pP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一、工作简况</w:t>
      </w:r>
    </w:p>
    <w:p>
      <w:p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（一）制定背景</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rPr>
        <w:t>城市配送主要体现为面向居民消费、工商企业“最后一公里”的物流活动。随着物流工作的重要性凸显，近年来各级政府日益重视物流行业发展，但在物流供给方面关注较多，比如交通基础设施建设、运输工具等。从整个物流链来看，</w:t>
      </w:r>
      <w:r>
        <w:rPr>
          <w:rFonts w:hint="eastAsia" w:ascii="仿宋" w:hAnsi="仿宋" w:eastAsia="仿宋" w:cs="仿宋"/>
          <w:sz w:val="32"/>
          <w:szCs w:val="32"/>
          <w:highlight w:val="none"/>
        </w:rPr>
        <w:t>城市配送</w:t>
      </w:r>
      <w:r>
        <w:rPr>
          <w:rFonts w:hint="eastAsia" w:ascii="仿宋" w:hAnsi="仿宋" w:eastAsia="仿宋" w:cs="仿宋"/>
          <w:sz w:val="32"/>
          <w:szCs w:val="32"/>
          <w:highlight w:val="none"/>
        </w:rPr>
        <w:t>是连接消费、实现交换的关键，代表物流的需求。</w:t>
      </w:r>
      <w:r>
        <w:rPr>
          <w:rFonts w:hint="eastAsia" w:ascii="仿宋" w:hAnsi="仿宋" w:eastAsia="仿宋" w:cs="仿宋"/>
          <w:sz w:val="32"/>
          <w:szCs w:val="32"/>
          <w:highlight w:val="none"/>
        </w:rPr>
        <w:t>城市配送网络</w:t>
      </w:r>
      <w:r>
        <w:rPr>
          <w:rFonts w:hint="eastAsia" w:ascii="仿宋" w:hAnsi="仿宋" w:eastAsia="仿宋" w:cs="仿宋"/>
          <w:sz w:val="32"/>
          <w:szCs w:val="32"/>
          <w:highlight w:val="none"/>
        </w:rPr>
        <w:t>发展滞后，商品配送“最后一公里”的问题尤为突出，已影响到扩大消费和流通效率。同时，城市配送因城市交通压力的加大和需求方的高要求而成为商品供应链条中矛盾比较突出的环节；也是成本陡升、推动物价上涨的重要因素。因此，大力推进城市配送工作，鼓励和推广共同配送等先进模式和组织方式，提升专业配送水平，完善城市配送服务体系，是解决物流“最后一公里”难题，保障城市经济运行、居民生活和物价稳定的重要措施；是降低物流成本、提高流通效率、建设“两型社会”的重要途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近几年，国家在城市配送方面做了积极有益的探索：2009年商务部下发了《关于加快我国流通领域现代物流发展的指导意见》，确定了46个流通领域现代物流示范城市；2011年商务部、国家发改委、全国供销总社下发了《商贸物流发展专项规划》；2012年商务部在全国选择了9个城市开展了“推进现代物流技术应用和共同配送综合试点”工作，并给予财政资金支持；在和财政部共同推进现代服务业综合试点过程中，将城市配送作为试点领域支持的一个重要方面，推进试点地区城市配送水平的提高；2</w:t>
      </w:r>
      <w:r>
        <w:rPr>
          <w:rFonts w:ascii="仿宋" w:hAnsi="仿宋" w:eastAsia="仿宋" w:cs="仿宋"/>
          <w:sz w:val="32"/>
          <w:szCs w:val="32"/>
        </w:rPr>
        <w:t>018</w:t>
      </w:r>
      <w:r>
        <w:rPr>
          <w:rFonts w:hint="eastAsia" w:ascii="仿宋" w:hAnsi="仿宋" w:eastAsia="仿宋" w:cs="仿宋"/>
          <w:sz w:val="32"/>
          <w:szCs w:val="32"/>
        </w:rPr>
        <w:t>年商务部发布了《城乡高效配送体系建设工作指引》等。随着国家对于城市配送的关注，城市配送服务水平不断提高，城市配送环境发生了很大的变化，但是依然存在城市配送网络资源配置效率低、体系不清晰、管理水平不高等问题。</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当前，在我国现有的标准体系中，国家层面尚没有针对城市配送网络体系建设的标准。同时，城市配送网络体系的建设与运营涉及商务部、发改委、交通部等多个管理部门。目前涉及城市配送网络体系的相关标准协同性差，建设缺乏系统的过程控制、质量管理、结果评价标准及运行维护、服务规范，政府绩效考核难，政策效果评价难，城市配送网络体系建设过程中迫切需要有针对性的标准予以指导和引领。因此，基于各地差异考虑，为了更好地推动城市配送网络体系建设的顺利开展和实施，特制定指南标准《城市配送网络体系建设指南》。</w:t>
      </w:r>
    </w:p>
    <w:p>
      <w:p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（二）任务来源与起草过程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城市配送网络体系建设指南》最早为2015年国家标准化管理委员会质检公益性行业科研专项项目中的标准内容，项目名称为《支撑物流和电子商务发展的30项重要标准研究》（项目编号201510210-06）。在中国仓储与配送协会组织下，由上海商业发展研究院牵头，召开了专家讨论会，共同讨论了城市配送的核心内容与体系，并提出了标准立项的思路，并初步确定了工作组的核心单位标准起草小组的构成方案成员、工作机制、标准分工及时间进度安排。</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随后工作组开展深入调研，走访了太原、厦门、成都、上海、兰州等5个城市，与上海智合天下供应链管理有限公司、海博物流有限公司、太原同成配送有限公司等26家企业开展了座谈，了解城市配送网络体系建设情况。标准起草小组在总结了国内城市配送网络体系建设现状的基础上，参考了德国、日本等国家有关规定，结合我国城市共同配送网络体系现实情况，形成了《城市配送网络体系建设指南》初稿。</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年1月9日批准立项（项目编号</w:t>
      </w:r>
      <w:r>
        <w:rPr>
          <w:rFonts w:ascii="仿宋" w:hAnsi="仿宋" w:eastAsia="仿宋" w:cs="仿宋"/>
          <w:sz w:val="32"/>
          <w:szCs w:val="32"/>
        </w:rPr>
        <w:t>20173941-T-322</w:t>
      </w:r>
      <w:r>
        <w:rPr>
          <w:rFonts w:hint="eastAsia" w:ascii="仿宋" w:hAnsi="仿宋" w:eastAsia="仿宋" w:cs="仿宋"/>
          <w:sz w:val="32"/>
          <w:szCs w:val="32"/>
        </w:rPr>
        <w:t>）之后，编制组通过现场会议、通讯会议，广泛征求了包括深圳供应链管理协会、上海市物流协会、上海标准化研究院等协会研究机构专家以及城配企业负责人的意见，对讨论稿进行了3次修订，主要修改的内容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1.重新定义了城市配送网络体系；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2.调整了城市配送网络体系规划建设原则；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3.增加了城市配送网络体系节点选址的内容；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4.调整了运营标准要求等。    </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年底形成了标准初稿。为更好的验证标准的内容，2</w:t>
      </w:r>
      <w:r>
        <w:rPr>
          <w:rFonts w:ascii="仿宋" w:hAnsi="仿宋" w:eastAsia="仿宋" w:cs="仿宋"/>
          <w:sz w:val="32"/>
          <w:szCs w:val="32"/>
        </w:rPr>
        <w:t>019</w:t>
      </w:r>
      <w:r>
        <w:rPr>
          <w:rFonts w:hint="eastAsia" w:ascii="仿宋" w:hAnsi="仿宋" w:eastAsia="仿宋" w:cs="仿宋"/>
          <w:sz w:val="32"/>
          <w:szCs w:val="32"/>
        </w:rPr>
        <w:t>年年后，起草组根据已经形成标准框架积极组织了行业调研，先后赴北京、上海、河北、江苏、山东、湖南等省市展开调研，对既有的城市配送模式、政府规划思路进行了跟踪了解。在调研中发现，标准初稿中关于城市配送的范围、体系划分的层级、标准使用主体等内容，还需要进一步调整和完善。</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年后，由于疫情影响，调研和标准研讨工作无法推进，很多城市调研未能及时开展，工作进度受到一定影响。只能通过在线会议的方式尽量推进。</w:t>
      </w:r>
      <w:r>
        <w:rPr>
          <w:rFonts w:ascii="仿宋" w:hAnsi="仿宋" w:eastAsia="仿宋" w:cs="仿宋"/>
          <w:sz w:val="32"/>
          <w:szCs w:val="32"/>
        </w:rPr>
        <w:t>2021</w:t>
      </w:r>
      <w:r>
        <w:rPr>
          <w:rFonts w:hint="eastAsia" w:ascii="仿宋" w:hAnsi="仿宋" w:eastAsia="仿宋" w:cs="仿宋"/>
          <w:sz w:val="32"/>
          <w:szCs w:val="32"/>
        </w:rPr>
        <w:t>年底，根据补充调研的内容，对标准进一步进行了完善。并与商务部相关处室进行了汇报。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022</w:t>
      </w:r>
      <w:r>
        <w:rPr>
          <w:rFonts w:hint="eastAsia" w:ascii="仿宋" w:hAnsi="仿宋" w:eastAsia="仿宋" w:cs="仿宋"/>
          <w:sz w:val="32"/>
          <w:szCs w:val="32"/>
        </w:rPr>
        <w:t>年1</w:t>
      </w:r>
      <w:r>
        <w:rPr>
          <w:rFonts w:ascii="仿宋" w:hAnsi="仿宋" w:eastAsia="仿宋" w:cs="仿宋"/>
          <w:sz w:val="32"/>
          <w:szCs w:val="32"/>
        </w:rPr>
        <w:t>0</w:t>
      </w:r>
      <w:r>
        <w:rPr>
          <w:rFonts w:hint="eastAsia" w:ascii="仿宋" w:hAnsi="仿宋" w:eastAsia="仿宋" w:cs="仿宋"/>
          <w:sz w:val="32"/>
          <w:szCs w:val="32"/>
        </w:rPr>
        <w:t>月，标准牵头起草单位中国仓储与配送协会邀请商务部流通业发展司供应链发展处、国家发展和改革委员会综合运输研究所等行业主管部门和便利蜂等行业企业在线召开了专家研讨会，确定了城市配送的范围、体系划分的层级、标准使用主体等核心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022</w:t>
      </w:r>
      <w:r>
        <w:rPr>
          <w:rFonts w:hint="eastAsia" w:ascii="仿宋" w:hAnsi="仿宋" w:eastAsia="仿宋" w:cs="仿宋"/>
          <w:sz w:val="32"/>
          <w:szCs w:val="32"/>
        </w:rPr>
        <w:t>年1</w:t>
      </w:r>
      <w:r>
        <w:rPr>
          <w:rFonts w:ascii="仿宋" w:hAnsi="仿宋" w:eastAsia="仿宋" w:cs="仿宋"/>
          <w:sz w:val="32"/>
          <w:szCs w:val="32"/>
        </w:rPr>
        <w:t>1</w:t>
      </w:r>
      <w:r>
        <w:rPr>
          <w:rFonts w:hint="eastAsia" w:ascii="仿宋" w:hAnsi="仿宋" w:eastAsia="仿宋" w:cs="仿宋"/>
          <w:sz w:val="32"/>
          <w:szCs w:val="32"/>
        </w:rPr>
        <w:t>月，起草小组核心单位在线召开了研讨会，进一步细化了上一阶段确定的标准内容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023</w:t>
      </w:r>
      <w:r>
        <w:rPr>
          <w:rFonts w:hint="eastAsia" w:ascii="仿宋" w:hAnsi="仿宋" w:eastAsia="仿宋" w:cs="仿宋"/>
          <w:sz w:val="32"/>
          <w:szCs w:val="32"/>
        </w:rPr>
        <w:t>年2月2</w:t>
      </w:r>
      <w:r>
        <w:rPr>
          <w:rFonts w:ascii="仿宋" w:hAnsi="仿宋" w:eastAsia="仿宋" w:cs="仿宋"/>
          <w:sz w:val="32"/>
          <w:szCs w:val="32"/>
        </w:rPr>
        <w:t>3</w:t>
      </w:r>
      <w:r>
        <w:rPr>
          <w:rFonts w:hint="eastAsia" w:ascii="仿宋" w:hAnsi="仿宋" w:eastAsia="仿宋" w:cs="仿宋"/>
          <w:sz w:val="32"/>
          <w:szCs w:val="32"/>
        </w:rPr>
        <w:t>日，通过线下方式在上海召开了疫情后首次起草小组讨论会，对标准的内容进行进一步补充和完善，重点对术语定义、标准语言、条款表述等内容进行了内部讨论与意见征集。会后根据会议讨论的内容，做了细化完善，形成了标准征求意见稿初稿。</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二、国家标准编制原则、主要内容及其确定依据</w:t>
      </w:r>
    </w:p>
    <w:p>
      <w:pPr>
        <w:pStyle w:val="12"/>
        <w:spacing w:line="360" w:lineRule="auto"/>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（一）编制原则</w:t>
      </w:r>
    </w:p>
    <w:p>
      <w:pPr>
        <w:pStyle w:val="10"/>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在制定标准的过程中严格遵循规范性、统一性、全面性原则。</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1.规范性。文本参照相关现行推荐性国家标准、行业标准，地方规划等，注重标准内容的科学性、协调性、实用性，注重与其他相关标准的协调性。</w:t>
      </w:r>
    </w:p>
    <w:p>
      <w:pPr>
        <w:pStyle w:val="10"/>
        <w:spacing w:line="6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2.统一性。充分考虑</w:t>
      </w:r>
      <w:r>
        <w:rPr>
          <w:rFonts w:hint="eastAsia" w:ascii="仿宋" w:hAnsi="仿宋" w:eastAsia="仿宋" w:cs="仿宋"/>
          <w:bCs w:val="0"/>
          <w:sz w:val="32"/>
          <w:szCs w:val="32"/>
        </w:rPr>
        <w:t>国家对于</w:t>
      </w:r>
      <w:r>
        <w:rPr>
          <w:rFonts w:hint="eastAsia" w:ascii="仿宋" w:hAnsi="仿宋" w:eastAsia="仿宋" w:cs="仿宋"/>
          <w:b w:val="0"/>
          <w:bCs w:val="0"/>
          <w:sz w:val="32"/>
          <w:szCs w:val="32"/>
        </w:rPr>
        <w:t>城市配送网络体系建设</w:t>
      </w:r>
      <w:r>
        <w:rPr>
          <w:rFonts w:hint="eastAsia" w:ascii="仿宋" w:hAnsi="仿宋" w:eastAsia="仿宋" w:cs="仿宋"/>
          <w:bCs w:val="0"/>
          <w:sz w:val="32"/>
          <w:szCs w:val="32"/>
        </w:rPr>
        <w:t>高质量发展的要求、现代化物流的发展需要以及行业实际情况</w:t>
      </w:r>
      <w:r>
        <w:rPr>
          <w:rFonts w:hint="eastAsia" w:ascii="仿宋" w:hAnsi="仿宋" w:eastAsia="仿宋" w:cs="仿宋"/>
          <w:kern w:val="0"/>
          <w:sz w:val="32"/>
          <w:szCs w:val="32"/>
        </w:rPr>
        <w:t>，</w:t>
      </w:r>
      <w:r>
        <w:rPr>
          <w:rFonts w:hint="eastAsia" w:ascii="仿宋" w:hAnsi="仿宋" w:eastAsia="仿宋" w:cs="仿宋"/>
          <w:bCs w:val="0"/>
          <w:sz w:val="32"/>
          <w:szCs w:val="32"/>
        </w:rPr>
        <w:t>对城市配送各层级的节点及配送通道给出了规划指引</w:t>
      </w:r>
      <w:r>
        <w:rPr>
          <w:rFonts w:hint="eastAsia" w:ascii="仿宋" w:hAnsi="仿宋" w:eastAsia="仿宋" w:cs="仿宋"/>
          <w:kern w:val="0"/>
          <w:sz w:val="32"/>
          <w:szCs w:val="32"/>
        </w:rPr>
        <w:t>。</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3.全面性。依据国家政策，注重普适性；充分吸收地方经验，注重实用性；强调通则性，能够进行广度覆盖。</w:t>
      </w:r>
    </w:p>
    <w:p>
      <w:pPr>
        <w:pStyle w:val="12"/>
        <w:adjustRightInd/>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（二）标准框架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以城市配送三级网络体系构建目标为主线确立标准框架。在总结的各示范城市成功经验的基础上，确定了城市配送网络体系建设标准的主体框架（见图）。</w:t>
      </w:r>
    </w:p>
    <w:p>
      <w:pPr>
        <w:pStyle w:val="12"/>
        <w:adjustRightInd/>
        <w:jc w:val="center"/>
        <w:rPr>
          <w:rFonts w:ascii="仿宋" w:hAnsi="仿宋" w:eastAsia="仿宋" w:cs="仿宋"/>
          <w:sz w:val="32"/>
          <w:szCs w:val="32"/>
        </w:rPr>
      </w:pPr>
      <w:r>
        <w:rPr>
          <w:rFonts w:hint="eastAsia" w:ascii="仿宋" w:hAnsi="仿宋" w:eastAsia="仿宋" w:cs="仿宋"/>
          <w:sz w:val="32"/>
          <w:szCs w:val="32"/>
        </w:rPr>
        <mc:AlternateContent>
          <mc:Choice Requires="wpg">
            <w:drawing>
              <wp:inline distT="0" distB="0" distL="0" distR="0">
                <wp:extent cx="3655695" cy="1902460"/>
                <wp:effectExtent l="0" t="0" r="20955" b="21590"/>
                <wp:docPr id="10" name="组合 10"/>
                <wp:cNvGraphicFramePr/>
                <a:graphic xmlns:a="http://schemas.openxmlformats.org/drawingml/2006/main">
                  <a:graphicData uri="http://schemas.microsoft.com/office/word/2010/wordprocessingGroup">
                    <wpg:wgp>
                      <wpg:cNvGrpSpPr/>
                      <wpg:grpSpPr>
                        <a:xfrm>
                          <a:off x="0" y="0"/>
                          <a:ext cx="3655695" cy="1902460"/>
                          <a:chOff x="2145" y="10496"/>
                          <a:chExt cx="5757" cy="3544"/>
                        </a:xfrm>
                      </wpg:grpSpPr>
                      <wps:wsp>
                        <wps:cNvPr id="2" name="Text Box 3"/>
                        <wps:cNvSpPr txBox="1">
                          <a:spLocks noChangeArrowheads="1"/>
                        </wps:cNvSpPr>
                        <wps:spPr bwMode="auto">
                          <a:xfrm>
                            <a:off x="3280" y="10496"/>
                            <a:ext cx="3305" cy="471"/>
                          </a:xfrm>
                          <a:prstGeom prst="rect">
                            <a:avLst/>
                          </a:prstGeom>
                          <a:solidFill>
                            <a:srgbClr val="FFFFFF"/>
                          </a:solidFill>
                          <a:ln w="9525">
                            <a:solidFill>
                              <a:srgbClr val="000000"/>
                            </a:solidFill>
                            <a:miter lim="800000"/>
                          </a:ln>
                        </wps:spPr>
                        <wps:txbx>
                          <w:txbxContent>
                            <w:p>
                              <w:pPr>
                                <w:jc w:val="center"/>
                                <w:rPr>
                                  <w:szCs w:val="21"/>
                                </w:rPr>
                              </w:pPr>
                              <w:r>
                                <w:rPr>
                                  <w:rFonts w:hint="eastAsia"/>
                                  <w:szCs w:val="21"/>
                                </w:rPr>
                                <w:t>标准主要架构</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2145" y="12300"/>
                            <a:ext cx="615" cy="1740"/>
                          </a:xfrm>
                          <a:prstGeom prst="rect">
                            <a:avLst/>
                          </a:prstGeom>
                          <a:solidFill>
                            <a:srgbClr val="FFFFFF"/>
                          </a:solidFill>
                          <a:ln w="9525">
                            <a:solidFill>
                              <a:srgbClr val="000000"/>
                            </a:solidFill>
                            <a:miter lim="800000"/>
                          </a:ln>
                        </wps:spPr>
                        <wps:txbx>
                          <w:txbxContent>
                            <w:p>
                              <w:pPr>
                                <w:rPr>
                                  <w:szCs w:val="21"/>
                                </w:rPr>
                              </w:pPr>
                              <w:r>
                                <w:rPr>
                                  <w:rFonts w:hint="eastAsia"/>
                                  <w:szCs w:val="21"/>
                                </w:rPr>
                                <w:t>术语和定义</w:t>
                              </w:r>
                            </w:p>
                          </w:txbxContent>
                        </wps:txbx>
                        <wps:bodyPr rot="0" vert="eaVert" wrap="square" lIns="91440" tIns="45720" rIns="91440" bIns="45720" anchor="t" anchorCtr="0" upright="1">
                          <a:noAutofit/>
                        </wps:bodyPr>
                      </wps:wsp>
                      <wps:wsp>
                        <wps:cNvPr id="4" name="Text Box 5"/>
                        <wps:cNvSpPr txBox="1">
                          <a:spLocks noChangeArrowheads="1"/>
                        </wps:cNvSpPr>
                        <wps:spPr bwMode="auto">
                          <a:xfrm>
                            <a:off x="3173" y="12300"/>
                            <a:ext cx="615" cy="1740"/>
                          </a:xfrm>
                          <a:prstGeom prst="rect">
                            <a:avLst/>
                          </a:prstGeom>
                          <a:solidFill>
                            <a:srgbClr val="FFFFFF"/>
                          </a:solidFill>
                          <a:ln w="9525">
                            <a:solidFill>
                              <a:srgbClr val="000000"/>
                            </a:solidFill>
                            <a:miter lim="800000"/>
                          </a:ln>
                        </wps:spPr>
                        <wps:txbx>
                          <w:txbxContent>
                            <w:p>
                              <w:pPr>
                                <w:rPr>
                                  <w:szCs w:val="21"/>
                                </w:rPr>
                              </w:pPr>
                              <w:r>
                                <w:rPr>
                                  <w:rFonts w:hint="eastAsia" w:asciiTheme="minorEastAsia" w:hAnsiTheme="minorEastAsia"/>
                                  <w:kern w:val="0"/>
                                  <w:szCs w:val="21"/>
                                </w:rPr>
                                <w:t>总体原则</w:t>
                              </w:r>
                            </w:p>
                          </w:txbxContent>
                        </wps:txbx>
                        <wps:bodyPr rot="0" vert="eaVert" wrap="square" lIns="91440" tIns="45720" rIns="91440" bIns="45720" anchor="t" anchorCtr="0" upright="1">
                          <a:noAutofit/>
                        </wps:bodyPr>
                      </wps:wsp>
                      <wps:wsp>
                        <wps:cNvPr id="5" name="Text Box 6"/>
                        <wps:cNvSpPr txBox="1">
                          <a:spLocks noChangeArrowheads="1"/>
                        </wps:cNvSpPr>
                        <wps:spPr bwMode="auto">
                          <a:xfrm>
                            <a:off x="4202" y="12300"/>
                            <a:ext cx="615" cy="1740"/>
                          </a:xfrm>
                          <a:prstGeom prst="rect">
                            <a:avLst/>
                          </a:prstGeom>
                          <a:solidFill>
                            <a:srgbClr val="FFFFFF"/>
                          </a:solidFill>
                          <a:ln w="9525">
                            <a:solidFill>
                              <a:srgbClr val="000000"/>
                            </a:solidFill>
                            <a:miter lim="800000"/>
                          </a:ln>
                        </wps:spPr>
                        <wps:txbx>
                          <w:txbxContent>
                            <w:p>
                              <w:pPr>
                                <w:rPr>
                                  <w:szCs w:val="21"/>
                                </w:rPr>
                              </w:pPr>
                              <w:r>
                                <w:rPr>
                                  <w:rFonts w:hint="eastAsia" w:asciiTheme="minorEastAsia" w:hAnsiTheme="minorEastAsia"/>
                                  <w:kern w:val="0"/>
                                  <w:szCs w:val="21"/>
                                </w:rPr>
                                <w:t>体系构成</w:t>
                              </w:r>
                            </w:p>
                          </w:txbxContent>
                        </wps:txbx>
                        <wps:bodyPr rot="0" vert="eaVert" wrap="square" lIns="91440" tIns="45720" rIns="91440" bIns="45720" anchor="t" anchorCtr="0" upright="1">
                          <a:noAutofit/>
                        </wps:bodyPr>
                      </wps:wsp>
                      <wps:wsp>
                        <wps:cNvPr id="6" name="Text Box 7"/>
                        <wps:cNvSpPr txBox="1">
                          <a:spLocks noChangeArrowheads="1"/>
                        </wps:cNvSpPr>
                        <wps:spPr bwMode="auto">
                          <a:xfrm>
                            <a:off x="5230" y="12300"/>
                            <a:ext cx="615" cy="1740"/>
                          </a:xfrm>
                          <a:prstGeom prst="rect">
                            <a:avLst/>
                          </a:prstGeom>
                          <a:solidFill>
                            <a:srgbClr val="FFFFFF"/>
                          </a:solidFill>
                          <a:ln w="9525">
                            <a:solidFill>
                              <a:srgbClr val="000000"/>
                            </a:solidFill>
                            <a:miter lim="800000"/>
                          </a:ln>
                        </wps:spPr>
                        <wps:txbx>
                          <w:txbxContent>
                            <w:p>
                              <w:pPr>
                                <w:rPr>
                                  <w:szCs w:val="21"/>
                                </w:rPr>
                              </w:pPr>
                              <w:r>
                                <w:rPr>
                                  <w:rFonts w:hint="eastAsia" w:asciiTheme="minorEastAsia" w:hAnsiTheme="minorEastAsia"/>
                                  <w:kern w:val="0"/>
                                  <w:szCs w:val="21"/>
                                </w:rPr>
                                <w:t>城市配送节点</w:t>
                              </w:r>
                            </w:p>
                          </w:txbxContent>
                        </wps:txbx>
                        <wps:bodyPr rot="0" vert="eaVert" wrap="square" lIns="91440" tIns="45720" rIns="91440" bIns="45720" anchor="t" anchorCtr="0" upright="1">
                          <a:noAutofit/>
                        </wps:bodyPr>
                      </wps:wsp>
                      <wps:wsp>
                        <wps:cNvPr id="7" name="Text Box 8"/>
                        <wps:cNvSpPr txBox="1">
                          <a:spLocks noChangeArrowheads="1"/>
                        </wps:cNvSpPr>
                        <wps:spPr bwMode="auto">
                          <a:xfrm>
                            <a:off x="6259" y="12300"/>
                            <a:ext cx="615" cy="1740"/>
                          </a:xfrm>
                          <a:prstGeom prst="rect">
                            <a:avLst/>
                          </a:prstGeom>
                          <a:solidFill>
                            <a:srgbClr val="FFFFFF"/>
                          </a:solidFill>
                          <a:ln w="9525">
                            <a:solidFill>
                              <a:srgbClr val="000000"/>
                            </a:solidFill>
                            <a:miter lim="800000"/>
                          </a:ln>
                        </wps:spPr>
                        <wps:txbx>
                          <w:txbxContent>
                            <w:p>
                              <w:pPr>
                                <w:rPr>
                                  <w:szCs w:val="21"/>
                                </w:rPr>
                              </w:pPr>
                              <w:r>
                                <w:rPr>
                                  <w:rFonts w:hint="eastAsia" w:asciiTheme="minorEastAsia" w:hAnsiTheme="minorEastAsia"/>
                                  <w:kern w:val="0"/>
                                  <w:szCs w:val="21"/>
                                </w:rPr>
                                <w:t>城市配送通道</w:t>
                              </w:r>
                            </w:p>
                          </w:txbxContent>
                        </wps:txbx>
                        <wps:bodyPr rot="0" vert="eaVert" wrap="square" lIns="91440" tIns="45720" rIns="91440" bIns="45720" anchor="t" anchorCtr="0" upright="1">
                          <a:noAutofit/>
                        </wps:bodyPr>
                      </wps:wsp>
                      <wps:wsp>
                        <wps:cNvPr id="8" name="Text Box 9"/>
                        <wps:cNvSpPr txBox="1">
                          <a:spLocks noChangeArrowheads="1"/>
                        </wps:cNvSpPr>
                        <wps:spPr bwMode="auto">
                          <a:xfrm>
                            <a:off x="7287" y="12300"/>
                            <a:ext cx="615" cy="1740"/>
                          </a:xfrm>
                          <a:prstGeom prst="rect">
                            <a:avLst/>
                          </a:prstGeom>
                          <a:solidFill>
                            <a:srgbClr val="FFFFFF"/>
                          </a:solidFill>
                          <a:ln w="9525">
                            <a:solidFill>
                              <a:srgbClr val="000000"/>
                            </a:solidFill>
                            <a:miter lim="800000"/>
                          </a:ln>
                        </wps:spPr>
                        <wps:txbx>
                          <w:txbxContent>
                            <w:p>
                              <w:pPr>
                                <w:rPr>
                                  <w:szCs w:val="21"/>
                                </w:rPr>
                              </w:pPr>
                              <w:r>
                                <w:rPr>
                                  <w:rFonts w:hint="eastAsia" w:asciiTheme="minorEastAsia" w:hAnsiTheme="minorEastAsia"/>
                                  <w:kern w:val="0"/>
                                  <w:szCs w:val="21"/>
                                </w:rPr>
                                <w:t>组织实施</w:t>
                              </w:r>
                            </w:p>
                          </w:txbxContent>
                        </wps:txbx>
                        <wps:bodyPr rot="0" vert="eaVert" wrap="square" lIns="91440" tIns="45720" rIns="91440" bIns="45720" anchor="t" anchorCtr="0" upright="1">
                          <a:noAutofit/>
                        </wps:bodyPr>
                      </wps:wsp>
                      <wps:wsp>
                        <wps:cNvPr id="11" name="AutoShape 12"/>
                        <wps:cNvCnPr>
                          <a:cxnSpLocks noChangeShapeType="1"/>
                        </wps:cNvCnPr>
                        <wps:spPr bwMode="auto">
                          <a:xfrm>
                            <a:off x="2385" y="11670"/>
                            <a:ext cx="5145" cy="0"/>
                          </a:xfrm>
                          <a:prstGeom prst="straightConnector1">
                            <a:avLst/>
                          </a:prstGeom>
                          <a:noFill/>
                          <a:ln w="9525">
                            <a:solidFill>
                              <a:srgbClr val="000000"/>
                            </a:solidFill>
                            <a:round/>
                          </a:ln>
                        </wps:spPr>
                        <wps:bodyPr/>
                      </wps:wsp>
                      <wps:wsp>
                        <wps:cNvPr id="12" name="AutoShape 13"/>
                        <wps:cNvCnPr>
                          <a:cxnSpLocks noChangeShapeType="1"/>
                        </wps:cNvCnPr>
                        <wps:spPr bwMode="auto">
                          <a:xfrm>
                            <a:off x="4965" y="10967"/>
                            <a:ext cx="0" cy="703"/>
                          </a:xfrm>
                          <a:prstGeom prst="straightConnector1">
                            <a:avLst/>
                          </a:prstGeom>
                          <a:noFill/>
                          <a:ln w="9525">
                            <a:solidFill>
                              <a:srgbClr val="000000"/>
                            </a:solidFill>
                            <a:round/>
                          </a:ln>
                        </wps:spPr>
                        <wps:bodyPr/>
                      </wps:wsp>
                      <wps:wsp>
                        <wps:cNvPr id="13" name="AutoShape 14"/>
                        <wps:cNvCnPr>
                          <a:cxnSpLocks noChangeShapeType="1"/>
                        </wps:cNvCnPr>
                        <wps:spPr bwMode="auto">
                          <a:xfrm>
                            <a:off x="2385" y="11670"/>
                            <a:ext cx="0" cy="630"/>
                          </a:xfrm>
                          <a:prstGeom prst="straightConnector1">
                            <a:avLst/>
                          </a:prstGeom>
                          <a:noFill/>
                          <a:ln w="9525">
                            <a:solidFill>
                              <a:srgbClr val="000000"/>
                            </a:solidFill>
                            <a:round/>
                          </a:ln>
                        </wps:spPr>
                        <wps:bodyPr/>
                      </wps:wsp>
                      <wps:wsp>
                        <wps:cNvPr id="14" name="AutoShape 15"/>
                        <wps:cNvCnPr>
                          <a:cxnSpLocks noChangeShapeType="1"/>
                        </wps:cNvCnPr>
                        <wps:spPr bwMode="auto">
                          <a:xfrm>
                            <a:off x="3420" y="11670"/>
                            <a:ext cx="0" cy="630"/>
                          </a:xfrm>
                          <a:prstGeom prst="straightConnector1">
                            <a:avLst/>
                          </a:prstGeom>
                          <a:noFill/>
                          <a:ln w="9525">
                            <a:solidFill>
                              <a:srgbClr val="000000"/>
                            </a:solidFill>
                            <a:round/>
                          </a:ln>
                        </wps:spPr>
                        <wps:bodyPr/>
                      </wps:wsp>
                      <wps:wsp>
                        <wps:cNvPr id="15" name="AutoShape 16"/>
                        <wps:cNvCnPr>
                          <a:cxnSpLocks noChangeShapeType="1"/>
                        </wps:cNvCnPr>
                        <wps:spPr bwMode="auto">
                          <a:xfrm>
                            <a:off x="4455" y="11670"/>
                            <a:ext cx="0" cy="630"/>
                          </a:xfrm>
                          <a:prstGeom prst="straightConnector1">
                            <a:avLst/>
                          </a:prstGeom>
                          <a:noFill/>
                          <a:ln w="9525">
                            <a:solidFill>
                              <a:srgbClr val="000000"/>
                            </a:solidFill>
                            <a:round/>
                          </a:ln>
                        </wps:spPr>
                        <wps:bodyPr/>
                      </wps:wsp>
                      <wps:wsp>
                        <wps:cNvPr id="16" name="AutoShape 17"/>
                        <wps:cNvCnPr>
                          <a:cxnSpLocks noChangeShapeType="1"/>
                        </wps:cNvCnPr>
                        <wps:spPr bwMode="auto">
                          <a:xfrm>
                            <a:off x="5535" y="11670"/>
                            <a:ext cx="0" cy="630"/>
                          </a:xfrm>
                          <a:prstGeom prst="straightConnector1">
                            <a:avLst/>
                          </a:prstGeom>
                          <a:noFill/>
                          <a:ln w="9525">
                            <a:solidFill>
                              <a:srgbClr val="000000"/>
                            </a:solidFill>
                            <a:round/>
                          </a:ln>
                        </wps:spPr>
                        <wps:bodyPr/>
                      </wps:wsp>
                      <wps:wsp>
                        <wps:cNvPr id="17" name="AutoShape 18"/>
                        <wps:cNvCnPr>
                          <a:cxnSpLocks noChangeShapeType="1"/>
                        </wps:cNvCnPr>
                        <wps:spPr bwMode="auto">
                          <a:xfrm>
                            <a:off x="6585" y="11670"/>
                            <a:ext cx="0" cy="630"/>
                          </a:xfrm>
                          <a:prstGeom prst="straightConnector1">
                            <a:avLst/>
                          </a:prstGeom>
                          <a:noFill/>
                          <a:ln w="9525">
                            <a:solidFill>
                              <a:srgbClr val="000000"/>
                            </a:solidFill>
                            <a:round/>
                          </a:ln>
                        </wps:spPr>
                        <wps:bodyPr/>
                      </wps:wsp>
                      <wps:wsp>
                        <wps:cNvPr id="18" name="AutoShape 19"/>
                        <wps:cNvCnPr>
                          <a:cxnSpLocks noChangeShapeType="1"/>
                        </wps:cNvCnPr>
                        <wps:spPr bwMode="auto">
                          <a:xfrm>
                            <a:off x="7530" y="11670"/>
                            <a:ext cx="0" cy="630"/>
                          </a:xfrm>
                          <a:prstGeom prst="straightConnector1">
                            <a:avLst/>
                          </a:prstGeom>
                          <a:noFill/>
                          <a:ln w="9525">
                            <a:solidFill>
                              <a:srgbClr val="000000"/>
                            </a:solidFill>
                            <a:round/>
                          </a:ln>
                        </wps:spPr>
                        <wps:bodyPr/>
                      </wps:wsp>
                    </wpg:wgp>
                  </a:graphicData>
                </a:graphic>
              </wp:inline>
            </w:drawing>
          </mc:Choice>
          <mc:Fallback>
            <w:pict>
              <v:group id="_x0000_s1026" o:spid="_x0000_s1026" o:spt="203" style="height:149.8pt;width:287.85pt;" coordorigin="2145,10496" coordsize="5757,3544" o:gfxdata="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I7OsCPXAAAABQEAAA8AAAAAAAAAAQAgAAAAIgAAAGRycy9kb3du&#10;cmV2LnhtbFBLAQIUABQAAAAIAIdO4kCEUnRecwQAADgkAAAOAAAAAAAAAAEAIAAAACYBAABkcnMv&#10;ZTJvRG9jLnhtbFBLBQYAAAAABgAGAFkBAAALCAAAAAA=&#10;">
                <o:lock v:ext="edit" aspectratio="f"/>
                <v:shape id="Text Box 3" o:spid="_x0000_s1026" o:spt="202" type="#_x0000_t202" style="position:absolute;left:3280;top:10496;height:471;width:3305;"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Cs w:val="21"/>
                          </w:rPr>
                        </w:pPr>
                        <w:r>
                          <w:rPr>
                            <w:rFonts w:hint="eastAsia"/>
                            <w:szCs w:val="21"/>
                          </w:rPr>
                          <w:t>标准主要架构</w:t>
                        </w:r>
                      </w:p>
                    </w:txbxContent>
                  </v:textbox>
                </v:shape>
                <v:shape id="Text Box 4" o:spid="_x0000_s1026" o:spt="202" type="#_x0000_t202" style="position:absolute;left:2145;top:12300;height:1740;width:615;" fillcolor="#FFFFFF" filled="t" stroked="t" coordsize="21600,21600" o:gfxdata="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rkLT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rPr>
                            <w:szCs w:val="21"/>
                          </w:rPr>
                        </w:pPr>
                        <w:r>
                          <w:rPr>
                            <w:rFonts w:hint="eastAsia"/>
                            <w:szCs w:val="21"/>
                          </w:rPr>
                          <w:t>术语和定义</w:t>
                        </w:r>
                      </w:p>
                    </w:txbxContent>
                  </v:textbox>
                </v:shape>
                <v:shape id="Text Box 5" o:spid="_x0000_s1026" o:spt="202" type="#_x0000_t202" style="position:absolute;left:3173;top:12300;height:1740;width:615;" fillcolor="#FFFFFF" filled="t" stroked="t" coordsize="21600,21600" o:gfxdata="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9q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rPr>
                            <w:szCs w:val="21"/>
                          </w:rPr>
                        </w:pPr>
                        <w:r>
                          <w:rPr>
                            <w:rFonts w:hint="eastAsia" w:asciiTheme="minorEastAsia" w:hAnsiTheme="minorEastAsia"/>
                            <w:kern w:val="0"/>
                            <w:szCs w:val="21"/>
                          </w:rPr>
                          <w:t>总体原则</w:t>
                        </w:r>
                      </w:p>
                    </w:txbxContent>
                  </v:textbox>
                </v:shape>
                <v:shape id="Text Box 6" o:spid="_x0000_s1026" o:spt="202" type="#_x0000_t202" style="position:absolute;left:4202;top:12300;height:1740;width:615;" fillcolor="#FFFFFF" filled="t" stroked="t" coordsize="21600,21600" o:gfxdata="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C38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rPr>
                            <w:szCs w:val="21"/>
                          </w:rPr>
                        </w:pPr>
                        <w:r>
                          <w:rPr>
                            <w:rFonts w:hint="eastAsia" w:asciiTheme="minorEastAsia" w:hAnsiTheme="minorEastAsia"/>
                            <w:kern w:val="0"/>
                            <w:szCs w:val="21"/>
                          </w:rPr>
                          <w:t>体系构成</w:t>
                        </w:r>
                      </w:p>
                    </w:txbxContent>
                  </v:textbox>
                </v:shape>
                <v:shape id="Text Box 7" o:spid="_x0000_s1026" o:spt="202" type="#_x0000_t202" style="position:absolute;left:5230;top:12300;height:1740;width:615;" fillcolor="#FFFFFF" filled="t" stroked="t" coordsize="21600,21600" o:gfxdata="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2eFL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style="layout-flow:vertical-ideographic;">
                    <w:txbxContent>
                      <w:p>
                        <w:pPr>
                          <w:rPr>
                            <w:szCs w:val="21"/>
                          </w:rPr>
                        </w:pPr>
                        <w:r>
                          <w:rPr>
                            <w:rFonts w:hint="eastAsia" w:asciiTheme="minorEastAsia" w:hAnsiTheme="minorEastAsia"/>
                            <w:kern w:val="0"/>
                            <w:szCs w:val="21"/>
                          </w:rPr>
                          <w:t>城市配送节点</w:t>
                        </w:r>
                      </w:p>
                    </w:txbxContent>
                  </v:textbox>
                </v:shape>
                <v:shape id="Text Box 8" o:spid="_x0000_s1026" o:spt="202" type="#_x0000_t202" style="position:absolute;left:6259;top:12300;height:1740;width:615;" fillcolor="#FFFFFF" filled="t" stroked="t" coordsize="21600,21600" o:gfxdata="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lUTQ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style="layout-flow:vertical-ideographic;">
                    <w:txbxContent>
                      <w:p>
                        <w:pPr>
                          <w:rPr>
                            <w:szCs w:val="21"/>
                          </w:rPr>
                        </w:pPr>
                        <w:r>
                          <w:rPr>
                            <w:rFonts w:hint="eastAsia" w:asciiTheme="minorEastAsia" w:hAnsiTheme="minorEastAsia"/>
                            <w:kern w:val="0"/>
                            <w:szCs w:val="21"/>
                          </w:rPr>
                          <w:t>城市配送通道</w:t>
                        </w:r>
                      </w:p>
                    </w:txbxContent>
                  </v:textbox>
                </v:shape>
                <v:shape id="Text Box 9" o:spid="_x0000_s1026" o:spt="202" type="#_x0000_t202" style="position:absolute;left:7287;top:12300;height:1740;width:615;" fillcolor="#FFFFFF" filled="t" stroked="t" coordsize="21600,21600" o:gfxdata="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ArQorUAAADa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style="layout-flow:vertical-ideographic;">
                    <w:txbxContent>
                      <w:p>
                        <w:pPr>
                          <w:rPr>
                            <w:szCs w:val="21"/>
                          </w:rPr>
                        </w:pPr>
                        <w:r>
                          <w:rPr>
                            <w:rFonts w:hint="eastAsia" w:asciiTheme="minorEastAsia" w:hAnsiTheme="minorEastAsia"/>
                            <w:kern w:val="0"/>
                            <w:szCs w:val="21"/>
                          </w:rPr>
                          <w:t>组织实施</w:t>
                        </w:r>
                      </w:p>
                    </w:txbxContent>
                  </v:textbox>
                </v:shape>
                <v:shape id="AutoShape 12" o:spid="_x0000_s1026" o:spt="32" type="#_x0000_t32" style="position:absolute;left:2385;top:11670;height:0;width:5145;"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13" o:spid="_x0000_s1026" o:spt="32" type="#_x0000_t32" style="position:absolute;left:4965;top:10967;height:703;width:0;"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4" o:spid="_x0000_s1026" o:spt="32" type="#_x0000_t32" style="position:absolute;left:2385;top:11670;height:630;width:0;" filled="f" stroked="t" coordsize="21600,21600" o:gfxdata="UEsDBAoAAAAAAIdO4kAAAAAAAAAAAAAAAAAEAAAAZHJzL1BLAwQUAAAACACHTuJAvJpIF7sAAADb&#10;AAAADwAAAGRycy9kb3ducmV2LnhtbEVPTWvCQBC9C/0PyxR6kbobi2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pIF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5" o:spid="_x0000_s1026" o:spt="32" type="#_x0000_t32" style="position:absolute;left:3420;top:11670;height:630;width:0;" filled="f" stroked="t" coordsize="21600,21600" o:gfxdata="UEsDBAoAAAAAAIdO4kAAAAAAAAAAAAAAAAAEAAAAZHJzL1BLAwQUAAAACACHTuJAM3PQY7sAAADb&#10;AAAADwAAAGRycy9kb3ducmV2LnhtbEVPTWvCQBC9C/0PyxR6kbobqW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PQY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6" o:spid="_x0000_s1026" o:spt="32" type="#_x0000_t32" style="position:absolute;left:4455;top:11670;height:630;width:0;" filled="f" stroked="t" coordsize="21600,2160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7" o:spid="_x0000_s1026" o:spt="32" type="#_x0000_t32" style="position:absolute;left:5535;top:11670;height:630;width:0;"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8" o:spid="_x0000_s1026" o:spt="32" type="#_x0000_t32" style="position:absolute;left:6585;top:11670;height:630;width:0;" filled="f" stroked="t" coordsize="21600,21600" o:gfxdata="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6FOF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9" o:spid="_x0000_s1026" o:spt="32" type="#_x0000_t32" style="position:absolute;left:7530;top:11670;height:630;width:0;"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w10:wrap type="none"/>
                <w10:anchorlock/>
              </v:group>
            </w:pict>
          </mc:Fallback>
        </mc:AlternateContent>
      </w:r>
    </w:p>
    <w:p>
      <w:pPr>
        <w:pStyle w:val="12"/>
        <w:adjustRightInd/>
        <w:jc w:val="center"/>
        <w:rPr>
          <w:rFonts w:ascii="仿宋" w:hAnsi="仿宋" w:eastAsia="仿宋" w:cs="仿宋"/>
          <w:bCs/>
          <w:sz w:val="28"/>
          <w:szCs w:val="28"/>
        </w:rPr>
      </w:pPr>
      <w:r>
        <w:rPr>
          <w:rFonts w:hint="eastAsia" w:ascii="仿宋" w:hAnsi="仿宋" w:eastAsia="仿宋" w:cs="仿宋"/>
          <w:bCs/>
          <w:sz w:val="28"/>
          <w:szCs w:val="28"/>
        </w:rPr>
        <w:t>图1 标准框架体系</w:t>
      </w:r>
    </w:p>
    <w:p>
      <w:pPr>
        <w:pStyle w:val="12"/>
        <w:adjustRightInd/>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（三）主要内容　　</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第3章术语中，首先给出了城市配送定义，定义中给出了城市的范围以及城市配送的内涵。同时给出了城市配送网络体系的构成与各组成部门的定义。</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第4章中，根据国家对于商贸物流高质量发展的要求、现代化物流的发展需要以及行业实际情况，分别从因地制宜、适度超前、平急结合</w:t>
      </w:r>
      <w:r>
        <w:rPr>
          <w:rFonts w:ascii="仿宋" w:hAnsi="仿宋" w:eastAsia="仿宋" w:cs="仿宋"/>
          <w:bCs/>
          <w:sz w:val="32"/>
          <w:szCs w:val="32"/>
        </w:rPr>
        <w:t>3</w:t>
      </w:r>
      <w:r>
        <w:rPr>
          <w:rFonts w:hint="eastAsia" w:ascii="仿宋" w:hAnsi="仿宋" w:eastAsia="仿宋" w:cs="仿宋"/>
          <w:bCs/>
          <w:sz w:val="32"/>
          <w:szCs w:val="32"/>
        </w:rPr>
        <w:t>个方面，提出了规划的基本原则。</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第5章体系构成中按照功能定位，将城市配送网络体系分成了三个层级节点和城市配送通道。同时也给出了不同城市在节点设置时需要考虑的因素及参考标准。</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第6、7章是本文的核心部分，对城市配送各层级的节点及配送通道给出了规划指引。</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一级城市配送节点的功能应以运输集散、仓储功能为主，兼具应急保供功能。相应，在位置选择上也应主要考虑满足其核心功能，宜优先依托各类型枢纽或物流设施设立，并具备干线运输条件，在设施设备要求方面也应以保障核心功能高效运转为主。</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二级城市配送节点功能应以分拣配送为核心功能，以提高运输配送效率，实现城市共同配送为目的。其设置形式除单独设置外，也可因地制宜，选择与一级节点合并设置。其选址主要考虑靠近城市核心功能区或产业聚集区，并具备便捷的城市道路网络条件。设施设备方面除考虑满足现有城市配送功能需求外，同时也对未来城市配送对于新能源配送车辆使用进行了考虑和要求。</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三级城市配送节点是城市配送末端的重要节点，功能以末端短距离小批量多批次配送服务为主。按照目前现有的城市配送模式来看，有些城市在三级节点下游还有快递柜、小区代收发货点、楼宇物业代售点、小区便利店团点等业务形态，虽然按照城市配送的定义，该环节也属于城市配送范畴，但是经研究发现，该层级形态复杂，往往与其他城市功能设施结合，很难建立统一的运营主体，无法从城市配送网络规划的层面进行统一约束，因此本标准将该部分内容作为三级节点服务的延伸，在本标准中没有做具体约束。其设施要求主要考虑了小型配送车辆及电动三轮车等停靠及充电条件。</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第7章城市通道的要求在起草过程中，进行了多次讨论，因为通道的功能、要求、布设受很多方面因素影响，一是涉及交管部门对于车辆管制、配送车辆对于居民生活影响、道路建设等内容，各城市情况差异较大，现有路网情况、交管政策等都不同，很难给出具体标准，因此，本文件以明确功能、满足需求、预留规划三个方面，对城市配送通道提出了总体的建议。</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第8章组织实施，考虑到城市配送网络体系除网络整体布局及硬件要求外，其整体的运行体系、信息化建设等内容也是保障其配送功能有效发挥的重要内容，因此，本文件分别从数据统计检测、各层级信息对接、信息平台建设、运营主体基本条件等方面，给出了建议。</w:t>
      </w:r>
    </w:p>
    <w:p>
      <w:pPr>
        <w:pStyle w:val="12"/>
        <w:adjustRightInd/>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 xml:space="preserve"> 指标设定说明</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起草组广泛调研了</w:t>
      </w:r>
      <w:r>
        <w:rPr>
          <w:rFonts w:hint="eastAsia" w:ascii="仿宋" w:hAnsi="仿宋" w:eastAsia="仿宋" w:cs="仿宋"/>
          <w:sz w:val="32"/>
          <w:szCs w:val="32"/>
        </w:rPr>
        <w:t>上海、太原、成都、兰州、厦门和山东等部分城市</w:t>
      </w:r>
      <w:r>
        <w:rPr>
          <w:rFonts w:hint="eastAsia" w:ascii="仿宋" w:hAnsi="仿宋" w:eastAsia="仿宋" w:cs="仿宋"/>
          <w:bCs/>
          <w:sz w:val="32"/>
          <w:szCs w:val="32"/>
        </w:rPr>
        <w:t>涉及城配业务的多家企业实际情况，重点对涉及城配业务的起草单位数据进行了采集，取平均值作为指标设定依据。同时，起草组综合考虑了企业网络搭建与城市网络规划之间的差异，初步给出了一二三级节点的配送半径建议。</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基于一级城市配送节点具备内外衔接、集散、应急等功能，建设规模对于其功能的发挥影响较大，因此标准给出了一级节点的占地及建筑规模。一级城市配送节点规模参数参照了JT</w:t>
      </w:r>
      <w:r>
        <w:rPr>
          <w:rFonts w:ascii="仿宋" w:hAnsi="仿宋" w:eastAsia="仿宋" w:cs="仿宋"/>
          <w:bCs/>
          <w:sz w:val="32"/>
          <w:szCs w:val="32"/>
        </w:rPr>
        <w:t>/</w:t>
      </w:r>
      <w:r>
        <w:rPr>
          <w:rFonts w:hint="eastAsia" w:ascii="仿宋" w:hAnsi="仿宋" w:eastAsia="仿宋" w:cs="仿宋"/>
          <w:bCs/>
          <w:sz w:val="32"/>
          <w:szCs w:val="32"/>
        </w:rPr>
        <w:t>T</w:t>
      </w:r>
      <w:r>
        <w:rPr>
          <w:rFonts w:ascii="仿宋" w:hAnsi="仿宋" w:eastAsia="仿宋" w:cs="仿宋"/>
          <w:bCs/>
          <w:sz w:val="32"/>
          <w:szCs w:val="32"/>
        </w:rPr>
        <w:t xml:space="preserve"> 402-2016</w:t>
      </w:r>
      <w:r>
        <w:rPr>
          <w:rFonts w:hint="eastAsia" w:ascii="仿宋" w:hAnsi="仿宋" w:eastAsia="仿宋" w:cs="仿宋"/>
          <w:bCs/>
          <w:sz w:val="32"/>
          <w:szCs w:val="32"/>
        </w:rPr>
        <w:t>《公路货运站站级标准及建设要求》中第6章三种主要货运站场的最低占地面积1</w:t>
      </w:r>
      <w:r>
        <w:rPr>
          <w:rFonts w:ascii="仿宋" w:hAnsi="仿宋" w:eastAsia="仿宋" w:cs="仿宋"/>
          <w:bCs/>
          <w:sz w:val="32"/>
          <w:szCs w:val="32"/>
        </w:rPr>
        <w:t>00</w:t>
      </w:r>
      <w:r>
        <w:rPr>
          <w:rFonts w:hint="eastAsia" w:ascii="仿宋" w:hAnsi="仿宋" w:eastAsia="仿宋" w:cs="仿宋"/>
          <w:bCs/>
          <w:sz w:val="32"/>
          <w:szCs w:val="32"/>
        </w:rPr>
        <w:t>亩。关于建筑面积的最小值，参照了“通用仓库等级标准化评价”中对于五星级地产仓库的规模要求不小于3</w:t>
      </w:r>
      <w:r>
        <w:rPr>
          <w:rFonts w:ascii="仿宋" w:hAnsi="仿宋" w:eastAsia="仿宋" w:cs="仿宋"/>
          <w:bCs/>
          <w:sz w:val="32"/>
          <w:szCs w:val="32"/>
        </w:rPr>
        <w:t>0000</w:t>
      </w:r>
      <w:r>
        <w:rPr>
          <w:rFonts w:hint="eastAsia" w:ascii="仿宋" w:hAnsi="仿宋" w:eastAsia="仿宋" w:cs="仿宋"/>
          <w:bCs/>
          <w:sz w:val="32"/>
          <w:szCs w:val="32"/>
        </w:rPr>
        <w:t>平方米的规定，作为本标准一级节点的建筑规模基本要求。</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关于一二级节点合并的建议，按照城市半径和人口规模提出了相关建议。城市半径的选取主要考虑了一级城市配送节点配送半径2</w:t>
      </w:r>
      <w:r>
        <w:rPr>
          <w:rFonts w:ascii="仿宋" w:hAnsi="仿宋" w:eastAsia="仿宋" w:cs="仿宋"/>
          <w:bCs/>
          <w:sz w:val="32"/>
          <w:szCs w:val="32"/>
        </w:rPr>
        <w:t>0</w:t>
      </w:r>
      <w:r>
        <w:rPr>
          <w:rFonts w:hint="eastAsia" w:ascii="仿宋" w:hAnsi="仿宋" w:eastAsia="仿宋" w:cs="仿宋"/>
          <w:bCs/>
          <w:sz w:val="32"/>
          <w:szCs w:val="32"/>
        </w:rPr>
        <w:t>km，当城市半径在</w:t>
      </w:r>
      <w:r>
        <w:rPr>
          <w:rFonts w:ascii="仿宋" w:hAnsi="仿宋" w:eastAsia="仿宋" w:cs="仿宋"/>
          <w:bCs/>
          <w:sz w:val="32"/>
          <w:szCs w:val="32"/>
        </w:rPr>
        <w:t>15</w:t>
      </w:r>
      <w:r>
        <w:rPr>
          <w:rFonts w:hint="eastAsia" w:ascii="仿宋" w:hAnsi="仿宋" w:eastAsia="仿宋" w:cs="仿宋"/>
          <w:bCs/>
          <w:sz w:val="32"/>
          <w:szCs w:val="32"/>
        </w:rPr>
        <w:t>km的时候，按照节点在城市外围计算，基本已经覆盖了7</w:t>
      </w:r>
      <w:r>
        <w:rPr>
          <w:rFonts w:ascii="仿宋" w:hAnsi="仿宋" w:eastAsia="仿宋" w:cs="仿宋"/>
          <w:bCs/>
          <w:sz w:val="32"/>
          <w:szCs w:val="32"/>
        </w:rPr>
        <w:t>0%</w:t>
      </w:r>
      <w:r>
        <w:rPr>
          <w:rFonts w:hint="eastAsia" w:ascii="仿宋" w:hAnsi="仿宋" w:eastAsia="仿宋" w:cs="仿宋"/>
          <w:bCs/>
          <w:sz w:val="32"/>
          <w:szCs w:val="32"/>
        </w:rPr>
        <w:t>左右的区域，如果再单独设置二级节点，从成本上考虑不科学。考虑到城市范围的不规则性，因此提出兼顾考虑人口参考值，该取值参考了《关于调整城市规模划分标准的通知》Ⅰ</w:t>
      </w:r>
      <w:r>
        <w:rPr>
          <w:rFonts w:ascii="仿宋" w:hAnsi="仿宋" w:eastAsia="仿宋" w:cs="仿宋"/>
          <w:bCs/>
          <w:sz w:val="32"/>
          <w:szCs w:val="32"/>
        </w:rPr>
        <w:t>型大城市</w:t>
      </w:r>
      <w:r>
        <w:rPr>
          <w:rFonts w:hint="eastAsia" w:ascii="仿宋" w:hAnsi="仿宋" w:eastAsia="仿宋" w:cs="仿宋"/>
          <w:bCs/>
          <w:sz w:val="32"/>
          <w:szCs w:val="32"/>
        </w:rPr>
        <w:t>、Ⅱ型大城市的人口划分指标，在调研中发现，Ⅱ</w:t>
      </w:r>
      <w:r>
        <w:rPr>
          <w:rFonts w:ascii="仿宋" w:hAnsi="仿宋" w:eastAsia="仿宋" w:cs="仿宋"/>
          <w:bCs/>
          <w:sz w:val="32"/>
          <w:szCs w:val="32"/>
        </w:rPr>
        <w:t>型大城市</w:t>
      </w:r>
      <w:r>
        <w:rPr>
          <w:rFonts w:hint="eastAsia" w:ascii="仿宋" w:hAnsi="仿宋" w:eastAsia="仿宋" w:cs="仿宋"/>
          <w:bCs/>
          <w:sz w:val="32"/>
          <w:szCs w:val="32"/>
        </w:rPr>
        <w:t>及以下规模城市城市规模一般较小，二级体系通常即可满足城配需求。</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三、试验验证的分析、综述报告，技术经济论证，预期的经济效益、社会效益和生态效益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文件将我国各地城市配送网络体系建设的经验、成果进行标准转化，使城市配送成为可操作的工作实践。标准的发布实施对于指导全国各城市进行城市配送网络规划建设及改造具有重要的指导意义，将有助于促进我国城市配送高质量建设、高效率管理、规范化服务，此标准必将成为城市配送体系建设的重要技术支撑文件。</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四、与国际、国外同类标准技术内容的对比情况</w:t>
      </w:r>
    </w:p>
    <w:p>
      <w:pPr>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本标准系自主制定项目，属国内领先水平。</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五、以国际标准为基础的起草情况，以及是否合规引用或者采用国际国外标准，并说明未采用国际标准的原因</w:t>
      </w:r>
    </w:p>
    <w:p>
      <w:pPr>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未引用或采用国际国外标准。本标准由于属于自主制定项目，未来也将主要服务于国内各城市规划指导，未涉及国外相关内容。</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六、与有关法律、行政法规及相关标准的关系</w:t>
      </w:r>
    </w:p>
    <w:p>
      <w:pPr>
        <w:spacing w:line="360" w:lineRule="auto"/>
        <w:ind w:firstLine="640" w:firstLineChars="200"/>
        <w:rPr>
          <w:rFonts w:ascii="仿宋" w:hAnsi="仿宋" w:eastAsia="仿宋" w:cs="仿宋"/>
          <w:sz w:val="32"/>
          <w:szCs w:val="32"/>
        </w:rPr>
      </w:pPr>
      <w:r>
        <w:rPr>
          <w:rFonts w:hint="eastAsia" w:ascii="仿宋" w:hAnsi="仿宋" w:eastAsia="仿宋" w:cs="仿宋"/>
          <w:bCs/>
          <w:kern w:val="0"/>
          <w:sz w:val="32"/>
          <w:szCs w:val="32"/>
        </w:rPr>
        <w:t>当前，我国现有标准体系中，在国家层面尚未出台与城市配送网络体系建设相关的标准，也未查询到与城市配送相关的</w:t>
      </w:r>
      <w:r>
        <w:rPr>
          <w:rFonts w:hint="eastAsia" w:ascii="仿宋" w:hAnsi="仿宋" w:eastAsia="仿宋" w:cs="仿宋"/>
          <w:sz w:val="32"/>
          <w:szCs w:val="32"/>
        </w:rPr>
        <w:t>标准。目前，商务部出台了涉及城市配送体系建设某一环节或部分的行业标准，如《城市配送统计指标体系及绩效评估方法》标准（SB/T 11069-2013）等，国家标准中也仅出台涉及某一环节的相关标准，如《物流管理信息系统应用开发指南》（GB/T23830-2009）。</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本标准编制与相关行业标准、国家标准相协调、相衔接。与现有标准不存在交叉、重复、矛盾。</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七、重大分歧意见的处理经过和依据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八、涉及专利的有关说明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九、实施国家标准的要求，以及组织措施、技术措施、过渡期和实施日期的建议等措施建议</w:t>
      </w:r>
    </w:p>
    <w:p>
      <w:pPr>
        <w:spacing w:line="360" w:lineRule="auto"/>
        <w:ind w:firstLine="640" w:firstLineChars="200"/>
        <w:rPr>
          <w:rFonts w:ascii="仿宋" w:hAnsi="仿宋" w:eastAsia="仿宋" w:cs="仿宋"/>
          <w:sz w:val="32"/>
          <w:szCs w:val="32"/>
        </w:rPr>
      </w:pPr>
      <w:r>
        <w:rPr>
          <w:rFonts w:hint="eastAsia" w:ascii="仿宋" w:hAnsi="仿宋" w:eastAsia="仿宋"/>
          <w:sz w:val="32"/>
          <w:szCs w:val="32"/>
        </w:rPr>
        <w:t>建议采取政府部门引导、行业协会推进的方法，通过多种途径进行标准宣贯，并依据标准，组织标准核心起草单位为有需求的单位提供技术支持及咨询服务。</w:t>
      </w:r>
    </w:p>
    <w:p>
      <w:pPr>
        <w:spacing w:line="360" w:lineRule="auto"/>
        <w:ind w:firstLine="640" w:firstLineChars="200"/>
        <w:rPr>
          <w:rFonts w:ascii="仿宋" w:hAnsi="仿宋" w:eastAsia="仿宋" w:cs="仿宋"/>
          <w:bCs/>
          <w:sz w:val="32"/>
          <w:szCs w:val="32"/>
        </w:rPr>
      </w:pPr>
      <w:r>
        <w:rPr>
          <w:rFonts w:hint="eastAsia" w:ascii="黑体" w:hAnsi="黑体" w:eastAsia="黑体" w:cs="黑体"/>
          <w:bCs/>
          <w:sz w:val="32"/>
          <w:szCs w:val="32"/>
        </w:rPr>
        <w:t>十、其他应当说明的事项</w:t>
      </w:r>
    </w:p>
    <w:p>
      <w:pPr>
        <w:pStyle w:val="12"/>
        <w:adjustRightInd/>
        <w:ind w:firstLine="640" w:firstLineChars="200"/>
        <w:rPr>
          <w:rFonts w:ascii="仿宋" w:hAnsi="仿宋" w:eastAsia="仿宋" w:cs="仿宋"/>
          <w:bCs/>
          <w:sz w:val="32"/>
          <w:szCs w:val="32"/>
        </w:rPr>
      </w:pPr>
      <w:r>
        <w:rPr>
          <w:rFonts w:hint="eastAsia" w:ascii="仿宋" w:hAnsi="仿宋" w:eastAsia="仿宋" w:cs="仿宋"/>
          <w:bCs/>
          <w:sz w:val="32"/>
          <w:szCs w:val="32"/>
        </w:rPr>
        <w:t>无。</w:t>
      </w:r>
    </w:p>
    <w:p>
      <w:pPr>
        <w:spacing w:line="360" w:lineRule="auto"/>
        <w:ind w:firstLine="640" w:firstLineChars="200"/>
        <w:rPr>
          <w:rFonts w:ascii="仿宋" w:hAnsi="仿宋" w:eastAsia="仿宋" w:cs="仿宋"/>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91277747"/>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391277747"/>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6"/>
      <w:suff w:val="nothing"/>
      <w:lvlText w:val="%1.%2.%3　"/>
      <w:lvlJc w:val="left"/>
      <w:pPr>
        <w:ind w:left="525" w:firstLine="0"/>
      </w:pPr>
      <w:rPr>
        <w:rFonts w:hint="eastAsia" w:ascii="黑体" w:hAnsi="Times New Roman" w:eastAsia="黑体"/>
        <w:b w:val="0"/>
        <w:i w:val="0"/>
        <w:sz w:val="21"/>
      </w:rPr>
    </w:lvl>
    <w:lvl w:ilvl="3" w:tentative="0">
      <w:start w:val="1"/>
      <w:numFmt w:val="decimal"/>
      <w:pStyle w:val="17"/>
      <w:suff w:val="nothing"/>
      <w:lvlText w:val="%1.%2.%3.%4　"/>
      <w:lvlJc w:val="left"/>
      <w:pPr>
        <w:ind w:left="425" w:firstLine="0"/>
      </w:pPr>
      <w:rPr>
        <w:rFonts w:hint="eastAsia" w:ascii="黑体" w:hAnsi="Times New Roman" w:eastAsia="黑体"/>
        <w:b w:val="0"/>
        <w:i w:val="0"/>
        <w:sz w:val="21"/>
      </w:rPr>
    </w:lvl>
    <w:lvl w:ilvl="4" w:tentative="0">
      <w:start w:val="1"/>
      <w:numFmt w:val="decimal"/>
      <w:pStyle w:val="18"/>
      <w:suff w:val="nothing"/>
      <w:lvlText w:val="%1.%2.%3.%4.%5　"/>
      <w:lvlJc w:val="left"/>
      <w:pPr>
        <w:ind w:left="840" w:firstLine="0"/>
      </w:pPr>
      <w:rPr>
        <w:rFonts w:hint="eastAsia" w:ascii="黑体" w:hAnsi="Times New Roman" w:eastAsia="黑体"/>
        <w:b w:val="0"/>
        <w:i w:val="0"/>
        <w:sz w:val="21"/>
      </w:rPr>
    </w:lvl>
    <w:lvl w:ilvl="5" w:tentative="0">
      <w:start w:val="1"/>
      <w:numFmt w:val="decimal"/>
      <w:pStyle w:val="19"/>
      <w:suff w:val="nothing"/>
      <w:lvlText w:val="%1.%2.%3.%4.%5.%6　"/>
      <w:lvlJc w:val="left"/>
      <w:pPr>
        <w:ind w:left="1365"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24"/>
    <w:rsid w:val="0001765D"/>
    <w:rsid w:val="000627E2"/>
    <w:rsid w:val="000767C1"/>
    <w:rsid w:val="000A4ECB"/>
    <w:rsid w:val="000B20FD"/>
    <w:rsid w:val="000B5CD5"/>
    <w:rsid w:val="000C16CF"/>
    <w:rsid w:val="000C775F"/>
    <w:rsid w:val="0011328B"/>
    <w:rsid w:val="00133D8C"/>
    <w:rsid w:val="001B32D5"/>
    <w:rsid w:val="001B5AD6"/>
    <w:rsid w:val="00262568"/>
    <w:rsid w:val="00294A15"/>
    <w:rsid w:val="002D2C61"/>
    <w:rsid w:val="002F3D0D"/>
    <w:rsid w:val="00323546"/>
    <w:rsid w:val="00370198"/>
    <w:rsid w:val="00381AFB"/>
    <w:rsid w:val="003853DC"/>
    <w:rsid w:val="003D171C"/>
    <w:rsid w:val="003E2F12"/>
    <w:rsid w:val="004050B9"/>
    <w:rsid w:val="004E2473"/>
    <w:rsid w:val="005561A1"/>
    <w:rsid w:val="00605265"/>
    <w:rsid w:val="006168AA"/>
    <w:rsid w:val="00622D7E"/>
    <w:rsid w:val="00623847"/>
    <w:rsid w:val="00643465"/>
    <w:rsid w:val="00643ED3"/>
    <w:rsid w:val="00663007"/>
    <w:rsid w:val="006A31B3"/>
    <w:rsid w:val="006B3124"/>
    <w:rsid w:val="00711052"/>
    <w:rsid w:val="00753777"/>
    <w:rsid w:val="00753FAB"/>
    <w:rsid w:val="00771447"/>
    <w:rsid w:val="007A33BB"/>
    <w:rsid w:val="007C30A7"/>
    <w:rsid w:val="007C385A"/>
    <w:rsid w:val="0082367D"/>
    <w:rsid w:val="00836FB3"/>
    <w:rsid w:val="008523C0"/>
    <w:rsid w:val="008529F8"/>
    <w:rsid w:val="008B2ED8"/>
    <w:rsid w:val="008C01C3"/>
    <w:rsid w:val="00943B2A"/>
    <w:rsid w:val="0094689C"/>
    <w:rsid w:val="00947BCB"/>
    <w:rsid w:val="0096270A"/>
    <w:rsid w:val="009629D6"/>
    <w:rsid w:val="0096723E"/>
    <w:rsid w:val="00980653"/>
    <w:rsid w:val="00981289"/>
    <w:rsid w:val="009862C6"/>
    <w:rsid w:val="00990168"/>
    <w:rsid w:val="009930B8"/>
    <w:rsid w:val="0099442E"/>
    <w:rsid w:val="009F17CD"/>
    <w:rsid w:val="009F6391"/>
    <w:rsid w:val="00A537C1"/>
    <w:rsid w:val="00A779A1"/>
    <w:rsid w:val="00A87BE9"/>
    <w:rsid w:val="00AD2154"/>
    <w:rsid w:val="00AE01B5"/>
    <w:rsid w:val="00B02EA0"/>
    <w:rsid w:val="00B64537"/>
    <w:rsid w:val="00B964FC"/>
    <w:rsid w:val="00BA21EF"/>
    <w:rsid w:val="00BE42C5"/>
    <w:rsid w:val="00C27AFD"/>
    <w:rsid w:val="00C8530E"/>
    <w:rsid w:val="00CA37B6"/>
    <w:rsid w:val="00CB01DB"/>
    <w:rsid w:val="00CB1FFC"/>
    <w:rsid w:val="00CE045C"/>
    <w:rsid w:val="00D04BD2"/>
    <w:rsid w:val="00D1056D"/>
    <w:rsid w:val="00D161F9"/>
    <w:rsid w:val="00D326D7"/>
    <w:rsid w:val="00D45F5C"/>
    <w:rsid w:val="00D55EEC"/>
    <w:rsid w:val="00D61996"/>
    <w:rsid w:val="00DD4B70"/>
    <w:rsid w:val="00DF5DD0"/>
    <w:rsid w:val="00DF65C3"/>
    <w:rsid w:val="00E14B43"/>
    <w:rsid w:val="00E55734"/>
    <w:rsid w:val="00EB0506"/>
    <w:rsid w:val="00EB4312"/>
    <w:rsid w:val="00EB5DA2"/>
    <w:rsid w:val="00F06574"/>
    <w:rsid w:val="00F06B24"/>
    <w:rsid w:val="00F23442"/>
    <w:rsid w:val="00F2722E"/>
    <w:rsid w:val="00F7217F"/>
    <w:rsid w:val="00F74300"/>
    <w:rsid w:val="00F75D62"/>
    <w:rsid w:val="00FE3998"/>
    <w:rsid w:val="00FF6146"/>
    <w:rsid w:val="08142DDC"/>
    <w:rsid w:val="0AD31A03"/>
    <w:rsid w:val="172B653B"/>
    <w:rsid w:val="18C30906"/>
    <w:rsid w:val="1F17001C"/>
    <w:rsid w:val="201B5F44"/>
    <w:rsid w:val="20902879"/>
    <w:rsid w:val="21A604AF"/>
    <w:rsid w:val="21AC2D41"/>
    <w:rsid w:val="22FB2513"/>
    <w:rsid w:val="2645628A"/>
    <w:rsid w:val="266E7170"/>
    <w:rsid w:val="27201BE3"/>
    <w:rsid w:val="27CC4C3A"/>
    <w:rsid w:val="28406D0B"/>
    <w:rsid w:val="2A4945EB"/>
    <w:rsid w:val="2A9D2890"/>
    <w:rsid w:val="2B002EF3"/>
    <w:rsid w:val="32BE3AF2"/>
    <w:rsid w:val="35902B73"/>
    <w:rsid w:val="39670C8B"/>
    <w:rsid w:val="3ACF382A"/>
    <w:rsid w:val="3BA57661"/>
    <w:rsid w:val="3BA77356"/>
    <w:rsid w:val="3E826845"/>
    <w:rsid w:val="3F7D1EBF"/>
    <w:rsid w:val="4877055B"/>
    <w:rsid w:val="4A147A0C"/>
    <w:rsid w:val="4C054176"/>
    <w:rsid w:val="4C273592"/>
    <w:rsid w:val="5118079F"/>
    <w:rsid w:val="53CC2FE6"/>
    <w:rsid w:val="58765FAD"/>
    <w:rsid w:val="5B8B6FAF"/>
    <w:rsid w:val="5BA1784F"/>
    <w:rsid w:val="5F326AA9"/>
    <w:rsid w:val="5FDC2BA3"/>
    <w:rsid w:val="63D26B2B"/>
    <w:rsid w:val="66FB6013"/>
    <w:rsid w:val="6A0C4654"/>
    <w:rsid w:val="6A503B66"/>
    <w:rsid w:val="6E9B52C9"/>
    <w:rsid w:val="71652D3C"/>
    <w:rsid w:val="76AC3766"/>
    <w:rsid w:val="7BE94D01"/>
    <w:rsid w:val="7D44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ody Text Indent 2"/>
    <w:basedOn w:val="1"/>
    <w:link w:val="20"/>
    <w:qFormat/>
    <w:uiPriority w:val="0"/>
    <w:pPr>
      <w:ind w:firstLine="640" w:firstLineChars="200"/>
    </w:pPr>
    <w:rPr>
      <w:rFonts w:eastAsia="仿宋_GB2312"/>
      <w:sz w:val="32"/>
      <w:szCs w:val="28"/>
    </w:rPr>
  </w:style>
  <w:style w:type="paragraph" w:styleId="5">
    <w:name w:val="footer"/>
    <w:basedOn w:val="1"/>
    <w:link w:val="26"/>
    <w:unhideWhenUsed/>
    <w:qFormat/>
    <w:uiPriority w:val="99"/>
    <w:pPr>
      <w:tabs>
        <w:tab w:val="center" w:pos="4153"/>
        <w:tab w:val="right" w:pos="8306"/>
      </w:tabs>
      <w:snapToGrid w:val="0"/>
      <w:jc w:val="lef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2"/>
      <w:lang w:val="en-US" w:eastAsia="zh-CN" w:bidi="ar-SA"/>
    </w:rPr>
  </w:style>
  <w:style w:type="character" w:customStyle="1" w:styleId="11">
    <w:name w:val="段 Char"/>
    <w:link w:val="10"/>
    <w:qFormat/>
    <w:locked/>
    <w:uiPriority w:val="0"/>
    <w:rPr>
      <w:rFonts w:ascii="宋体" w:hAnsi="Times New Roman" w:eastAsia="宋体" w:cs="Times New Roman"/>
      <w:kern w:val="0"/>
      <w:sz w:val="22"/>
      <w:szCs w:val="20"/>
    </w:rPr>
  </w:style>
  <w:style w:type="paragraph" w:customStyle="1" w:styleId="12">
    <w:name w:val="样式5"/>
    <w:basedOn w:val="1"/>
    <w:link w:val="13"/>
    <w:qFormat/>
    <w:uiPriority w:val="0"/>
    <w:pPr>
      <w:widowControl/>
      <w:tabs>
        <w:tab w:val="left" w:pos="540"/>
      </w:tabs>
      <w:adjustRightInd w:val="0"/>
      <w:spacing w:line="360" w:lineRule="auto"/>
      <w:ind w:firstLine="480"/>
      <w:textAlignment w:val="baseline"/>
    </w:pPr>
    <w:rPr>
      <w:rFonts w:ascii="宋体" w:hAnsi="宋体"/>
      <w:kern w:val="0"/>
      <w:sz w:val="24"/>
    </w:rPr>
  </w:style>
  <w:style w:type="character" w:customStyle="1" w:styleId="13">
    <w:name w:val="样式5 Char"/>
    <w:basedOn w:val="7"/>
    <w:link w:val="12"/>
    <w:qFormat/>
    <w:uiPriority w:val="0"/>
    <w:rPr>
      <w:rFonts w:ascii="宋体" w:hAnsi="宋体" w:eastAsia="宋体" w:cs="Times New Roman"/>
      <w:kern w:val="0"/>
      <w:sz w:val="24"/>
      <w:szCs w:val="24"/>
    </w:rPr>
  </w:style>
  <w:style w:type="paragraph" w:customStyle="1" w:styleId="14">
    <w:name w:val="一级条标题"/>
    <w:next w:val="1"/>
    <w:qFormat/>
    <w:uiPriority w:val="0"/>
    <w:pPr>
      <w:numPr>
        <w:ilvl w:val="1"/>
        <w:numId w:val="1"/>
      </w:numPr>
      <w:spacing w:beforeLines="50" w:afterLines="50"/>
      <w:ind w:left="630"/>
      <w:outlineLvl w:val="2"/>
    </w:pPr>
    <w:rPr>
      <w:rFonts w:ascii="黑体" w:hAnsi="Times New Roman" w:eastAsia="黑体" w:cs="Times New Roman"/>
      <w:sz w:val="21"/>
      <w:szCs w:val="21"/>
      <w:lang w:val="en-US" w:eastAsia="zh-CN" w:bidi="ar-SA"/>
    </w:rPr>
  </w:style>
  <w:style w:type="paragraph" w:customStyle="1" w:styleId="15">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6">
    <w:name w:val="二级条标题"/>
    <w:basedOn w:val="14"/>
    <w:next w:val="1"/>
    <w:qFormat/>
    <w:uiPriority w:val="0"/>
    <w:pPr>
      <w:numPr>
        <w:ilvl w:val="2"/>
      </w:numPr>
      <w:outlineLvl w:val="3"/>
    </w:pPr>
  </w:style>
  <w:style w:type="paragraph" w:customStyle="1" w:styleId="17">
    <w:name w:val="三级条标题"/>
    <w:basedOn w:val="16"/>
    <w:next w:val="1"/>
    <w:qFormat/>
    <w:uiPriority w:val="0"/>
    <w:pPr>
      <w:numPr>
        <w:ilvl w:val="3"/>
      </w:numPr>
      <w:outlineLvl w:val="4"/>
    </w:pPr>
  </w:style>
  <w:style w:type="paragraph" w:customStyle="1" w:styleId="18">
    <w:name w:val="四级条标题"/>
    <w:basedOn w:val="17"/>
    <w:next w:val="1"/>
    <w:qFormat/>
    <w:uiPriority w:val="0"/>
    <w:pPr>
      <w:numPr>
        <w:ilvl w:val="4"/>
      </w:numPr>
      <w:ind w:left="1680"/>
      <w:outlineLvl w:val="5"/>
    </w:pPr>
  </w:style>
  <w:style w:type="paragraph" w:customStyle="1" w:styleId="19">
    <w:name w:val="五级条标题"/>
    <w:basedOn w:val="18"/>
    <w:next w:val="1"/>
    <w:qFormat/>
    <w:uiPriority w:val="0"/>
    <w:pPr>
      <w:numPr>
        <w:ilvl w:val="5"/>
      </w:numPr>
      <w:ind w:left="2730"/>
      <w:outlineLvl w:val="6"/>
    </w:pPr>
  </w:style>
  <w:style w:type="character" w:customStyle="1" w:styleId="20">
    <w:name w:val="正文文本缩进 2 字符"/>
    <w:basedOn w:val="7"/>
    <w:link w:val="4"/>
    <w:qFormat/>
    <w:uiPriority w:val="0"/>
    <w:rPr>
      <w:rFonts w:ascii="Times New Roman" w:hAnsi="Times New Roman" w:eastAsia="仿宋_GB2312" w:cs="Times New Roman"/>
      <w:sz w:val="32"/>
      <w:szCs w:val="28"/>
    </w:rPr>
  </w:style>
  <w:style w:type="paragraph" w:customStyle="1" w:styleId="21">
    <w:name w:val="列出段落1"/>
    <w:basedOn w:val="1"/>
    <w:qFormat/>
    <w:uiPriority w:val="34"/>
    <w:pPr>
      <w:ind w:firstLine="420" w:firstLineChars="200"/>
    </w:pPr>
  </w:style>
  <w:style w:type="character" w:customStyle="1" w:styleId="22">
    <w:name w:val="标题 1 字符"/>
    <w:basedOn w:val="7"/>
    <w:link w:val="2"/>
    <w:qFormat/>
    <w:uiPriority w:val="9"/>
    <w:rPr>
      <w:rFonts w:ascii="宋体" w:hAnsi="宋体" w:eastAsia="宋体" w:cs="宋体"/>
      <w:b/>
      <w:bCs/>
      <w:kern w:val="36"/>
      <w:sz w:val="48"/>
      <w:szCs w:val="48"/>
    </w:rPr>
  </w:style>
  <w:style w:type="character" w:customStyle="1" w:styleId="23">
    <w:name w:val="style31"/>
    <w:basedOn w:val="7"/>
    <w:qFormat/>
    <w:uiPriority w:val="0"/>
    <w:rPr>
      <w:color w:val="C1DDF5"/>
    </w:rPr>
  </w:style>
  <w:style w:type="character" w:customStyle="1" w:styleId="24">
    <w:name w:val="标题 2 字符"/>
    <w:basedOn w:val="7"/>
    <w:link w:val="3"/>
    <w:semiHidden/>
    <w:qFormat/>
    <w:uiPriority w:val="9"/>
    <w:rPr>
      <w:rFonts w:asciiTheme="majorHAnsi" w:hAnsiTheme="majorHAnsi" w:eastAsiaTheme="majorEastAsia" w:cstheme="majorBidi"/>
      <w:b/>
      <w:bCs/>
      <w:sz w:val="32"/>
      <w:szCs w:val="32"/>
    </w:rPr>
  </w:style>
  <w:style w:type="character" w:customStyle="1" w:styleId="25">
    <w:name w:val="页眉 字符"/>
    <w:basedOn w:val="7"/>
    <w:link w:val="6"/>
    <w:qFormat/>
    <w:uiPriority w:val="99"/>
    <w:rPr>
      <w:rFonts w:ascii="Times New Roman" w:hAnsi="Times New Roman" w:eastAsia="宋体" w:cs="Times New Roman"/>
      <w:sz w:val="18"/>
      <w:szCs w:val="18"/>
    </w:rPr>
  </w:style>
  <w:style w:type="character" w:customStyle="1" w:styleId="26">
    <w:name w:val="页脚 字符"/>
    <w:basedOn w:val="7"/>
    <w:link w:val="5"/>
    <w:qFormat/>
    <w:uiPriority w:val="99"/>
    <w:rPr>
      <w:rFonts w:ascii="Times New Roman" w:hAnsi="Times New Roman" w:eastAsia="宋体" w:cs="Times New Roman"/>
      <w:sz w:val="18"/>
      <w:szCs w:val="18"/>
    </w:rPr>
  </w:style>
  <w:style w:type="paragraph" w:customStyle="1" w:styleId="27">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2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760</Words>
  <Characters>4338</Characters>
  <Lines>36</Lines>
  <Paragraphs>10</Paragraphs>
  <TotalTime>6</TotalTime>
  <ScaleCrop>false</ScaleCrop>
  <LinksUpToDate>false</LinksUpToDate>
  <CharactersWithSpaces>5088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2023-05-12T02:08:00Z</dcterms:created>
  <dc:creator>admin</dc:creator>
  <cp:lastModifiedBy>urer</cp:lastModifiedBy>
  <cp:lastPrinted>2023-05-12T06:15:00Z</cp:lastPrinted>
  <dcterms:modified xsi:type="dcterms:W3CDTF">2023-05-16T09:08:36Z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