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widowControl/>
        <w:ind w:firstLine="0" w:firstLineChars="0"/>
        <w:jc w:val="center"/>
        <w:rPr>
          <w:rFonts w:hint="eastAsia" w:asciiTheme="majorEastAsia" w:hAnsiTheme="majorEastAsia" w:eastAsiaTheme="majorEastAsia" w:cstheme="majorEastAsia"/>
          <w:b/>
          <w:color w:val="auto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kern w:val="0"/>
          <w:sz w:val="36"/>
          <w:szCs w:val="36"/>
          <w:lang w:val="en-US" w:eastAsia="zh-CN"/>
        </w:rPr>
        <w:t>行业</w:t>
      </w:r>
      <w:r>
        <w:rPr>
          <w:rFonts w:hint="eastAsia" w:asciiTheme="majorEastAsia" w:hAnsiTheme="majorEastAsia" w:eastAsiaTheme="majorEastAsia" w:cstheme="majorEastAsia"/>
          <w:b/>
          <w:color w:val="auto"/>
          <w:kern w:val="0"/>
          <w:sz w:val="36"/>
          <w:szCs w:val="36"/>
        </w:rPr>
        <w:t>标准《</w:t>
      </w:r>
      <w:r>
        <w:rPr>
          <w:rFonts w:hint="eastAsia" w:asciiTheme="majorEastAsia" w:hAnsiTheme="majorEastAsia" w:eastAsiaTheme="majorEastAsia" w:cstheme="majorEastAsia"/>
          <w:b/>
          <w:color w:val="auto"/>
          <w:kern w:val="0"/>
          <w:sz w:val="36"/>
          <w:szCs w:val="36"/>
          <w:lang w:val="en-US" w:eastAsia="zh-CN"/>
        </w:rPr>
        <w:t>配送中心规划设计指南</w:t>
      </w:r>
      <w:r>
        <w:rPr>
          <w:rFonts w:hint="eastAsia" w:asciiTheme="majorEastAsia" w:hAnsiTheme="majorEastAsia" w:eastAsiaTheme="majorEastAsia" w:cstheme="majorEastAsia"/>
          <w:b/>
          <w:color w:val="auto"/>
          <w:kern w:val="0"/>
          <w:sz w:val="36"/>
          <w:szCs w:val="36"/>
        </w:rPr>
        <w:t>》</w:t>
      </w:r>
    </w:p>
    <w:p>
      <w:pPr>
        <w:pStyle w:val="14"/>
        <w:widowControl/>
        <w:ind w:firstLine="0" w:firstLineChars="0"/>
        <w:jc w:val="center"/>
        <w:rPr>
          <w:rFonts w:hint="eastAsia" w:asciiTheme="majorEastAsia" w:hAnsiTheme="majorEastAsia" w:eastAsiaTheme="majorEastAsia" w:cstheme="majorEastAsia"/>
          <w:b/>
          <w:color w:val="auto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kern w:val="0"/>
          <w:sz w:val="36"/>
          <w:szCs w:val="36"/>
        </w:rPr>
        <w:t>（</w:t>
      </w:r>
      <w:r>
        <w:rPr>
          <w:rFonts w:hint="eastAsia" w:asciiTheme="majorEastAsia" w:hAnsiTheme="majorEastAsia" w:eastAsiaTheme="majorEastAsia" w:cstheme="majorEastAsia"/>
          <w:b/>
          <w:color w:val="auto"/>
          <w:kern w:val="0"/>
          <w:sz w:val="36"/>
          <w:szCs w:val="36"/>
          <w:lang w:val="en-US" w:eastAsia="zh-CN"/>
        </w:rPr>
        <w:t>征求意见</w:t>
      </w:r>
      <w:r>
        <w:rPr>
          <w:rFonts w:hint="eastAsia" w:asciiTheme="majorEastAsia" w:hAnsiTheme="majorEastAsia" w:eastAsiaTheme="majorEastAsia" w:cstheme="majorEastAsia"/>
          <w:b/>
          <w:color w:val="auto"/>
          <w:kern w:val="0"/>
          <w:sz w:val="36"/>
          <w:szCs w:val="36"/>
        </w:rPr>
        <w:t>稿）编制说明</w:t>
      </w:r>
    </w:p>
    <w:p>
      <w:pPr>
        <w:spacing w:line="360" w:lineRule="auto"/>
        <w:ind w:firstLine="600" w:firstLineChars="200"/>
        <w:rPr>
          <w:rFonts w:hint="eastAsia" w:ascii="黑体" w:hAnsi="黑体" w:eastAsia="黑体"/>
          <w:color w:val="auto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一、工作简况</w:t>
      </w:r>
    </w:p>
    <w:p>
      <w:pPr>
        <w:spacing w:line="360" w:lineRule="auto"/>
        <w:ind w:firstLine="602" w:firstLineChars="200"/>
        <w:rPr>
          <w:rFonts w:hint="eastAsia" w:ascii="楷体" w:hAnsi="楷体" w:eastAsia="楷体"/>
          <w:b/>
          <w:bCs/>
          <w:color w:val="auto"/>
          <w:sz w:val="30"/>
          <w:szCs w:val="30"/>
        </w:rPr>
      </w:pPr>
      <w:r>
        <w:rPr>
          <w:rFonts w:hint="eastAsia" w:ascii="楷体" w:hAnsi="楷体" w:eastAsia="楷体"/>
          <w:b/>
          <w:bCs/>
          <w:color w:val="auto"/>
          <w:sz w:val="30"/>
          <w:szCs w:val="30"/>
        </w:rPr>
        <w:t>（一）行业发展现状</w:t>
      </w:r>
    </w:p>
    <w:p>
      <w:pPr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配送中心是以仓库为基础，提供存货管理、拣选、加工、包装与集货、组配及其信息管理等服务的场所或组织，相较于传统仓库，具有功能完善、信息化程度高、设施设备完备等特点，更能满足市场多品种、批量小、多频次的现代化物流需求和个性化的消费需求。配送中心作为供应链中贯穿生产、流通、消费各环节的关键节点，是建设现代流通体系、支撑国内国际双循环的重要支撑，是实现高质量发展的重要内容。</w:t>
      </w:r>
    </w:p>
    <w:p>
      <w:pPr>
        <w:ind w:firstLine="600" w:firstLineChars="200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随着市场需求变化和行业竞争加剧，近年来，越来多的仓库由静态储存向动态管理转变，由单一服务功能向多元化、一体化、增值化服务转变，追求向现代化配送中心的转型升级。据中国仓储与配送协会不完全统计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，截止2022年底，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我国仓储设施总量约16.5亿平方米，其中具备配送功能、可开展配送业务的占比约为85%，但是有代表性、运行高效的配送中心占比很低。业内大部分企业并不知道如何对配送中心进行规划设计，在新建或改建配送中心前应统筹哪些方面、考虑哪些因素。</w:t>
      </w:r>
    </w:p>
    <w:p>
      <w:pPr>
        <w:spacing w:line="360" w:lineRule="auto"/>
        <w:ind w:firstLine="602" w:firstLineChars="200"/>
        <w:rPr>
          <w:rFonts w:hint="eastAsia" w:ascii="楷体" w:hAnsi="楷体" w:eastAsia="楷体"/>
          <w:b/>
          <w:bCs/>
          <w:color w:val="auto"/>
          <w:sz w:val="30"/>
          <w:szCs w:val="30"/>
        </w:rPr>
      </w:pPr>
      <w:r>
        <w:rPr>
          <w:rFonts w:hint="eastAsia" w:ascii="楷体" w:hAnsi="楷体" w:eastAsia="楷体"/>
          <w:b/>
          <w:bCs/>
          <w:color w:val="auto"/>
          <w:sz w:val="30"/>
          <w:szCs w:val="30"/>
        </w:rPr>
        <w:t>（二）制修订必要性</w:t>
      </w:r>
    </w:p>
    <w:p>
      <w:pPr>
        <w:ind w:firstLine="600" w:firstLineChars="200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从市场需求角度讲，门店小批量多频次的订单需求、电商的个性化消费需求已成为“新常态”，对配送中心具备的功能和作业水平要求越来越高。但在实际调研中发现，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大部分企业不知道、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也不重视前期对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配送中心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的规划设计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导致配送中心建成后在使用过程中存在各种各样的问题。因前期规划设计的欠缺，导致配送中心建设后不能用、不好用，带来行业资源浪费和物流运行效率低下。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从行业发展角度讲，国家倡导各行各业要转型升级、实现数字化智能化发展，而配送中心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供应链中贯穿生产、流通、消费各环节的关键节点，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是支撑现代流通体系建设和构建新发展格局的重要组成部分，也面临着如何转型、如何数字化智能化的问题。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在此背景下，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制定本标准的目的在于，指导企业科学合理的规划设计配送中心，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以应对外部市场需求的变化和内部转型升级的需求，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以提升物流服务能力和作业效率、降低运营成本，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保证供应链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稳定畅通、支撑现代商贸流通发展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。</w:t>
      </w:r>
    </w:p>
    <w:p>
      <w:pPr>
        <w:spacing w:line="360" w:lineRule="auto"/>
        <w:ind w:firstLine="602" w:firstLineChars="200"/>
        <w:rPr>
          <w:rFonts w:hint="eastAsia" w:ascii="楷体" w:hAnsi="楷体" w:eastAsia="楷体"/>
          <w:b/>
          <w:bCs/>
          <w:color w:val="auto"/>
          <w:sz w:val="30"/>
          <w:szCs w:val="30"/>
        </w:rPr>
      </w:pPr>
      <w:r>
        <w:rPr>
          <w:rFonts w:hint="eastAsia" w:ascii="楷体" w:hAnsi="楷体" w:eastAsia="楷体"/>
          <w:b/>
          <w:bCs/>
          <w:color w:val="auto"/>
          <w:sz w:val="30"/>
          <w:szCs w:val="30"/>
        </w:rPr>
        <w:t>（三）任务来源</w:t>
      </w:r>
    </w:p>
    <w:p>
      <w:pPr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商务部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提出并归口，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月经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商务部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批准，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列入《关于下达2021年第二批商务领域行业标准计划项目的通知》（商办建函〔2021〕184号）。</w:t>
      </w:r>
    </w:p>
    <w:p>
      <w:pPr>
        <w:spacing w:line="360" w:lineRule="auto"/>
        <w:ind w:firstLine="602" w:firstLineChars="200"/>
        <w:rPr>
          <w:rFonts w:hint="eastAsia" w:ascii="楷体" w:hAnsi="楷体" w:eastAsia="楷体"/>
          <w:b/>
          <w:bCs/>
          <w:color w:val="auto"/>
          <w:sz w:val="30"/>
          <w:szCs w:val="30"/>
        </w:rPr>
      </w:pPr>
      <w:r>
        <w:rPr>
          <w:rFonts w:hint="eastAsia" w:ascii="楷体" w:hAnsi="楷体" w:eastAsia="楷体"/>
          <w:b/>
          <w:bCs/>
          <w:color w:val="auto"/>
          <w:sz w:val="30"/>
          <w:szCs w:val="30"/>
        </w:rPr>
        <w:t>（四）主要参加单位和工作组成员</w:t>
      </w:r>
    </w:p>
    <w:p>
      <w:pPr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本标准起草单位：中国仓储与配送协会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深圳顺丰泰森控股（集团）有限公司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浙江朗奥物流科技有限公司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诺力智能装备股份有限公司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深圳市凯东源物流现代物流股份有限公司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天和双力（深圳）智造物流科技有限公司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浙江省天正设计工程有限公司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武汉现代物流研究院</w:t>
      </w:r>
      <w:bookmarkStart w:id="2" w:name="_GoBack"/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宝湾物流控股有限公司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青岛德盛利智能装备股份有限公司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山东高盛供应链管理有限公司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无锡轻源</w:t>
      </w:r>
      <w:bookmarkEnd w:id="2"/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建筑设计有限公司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北京伍强智能科技有限公司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北京佳速工程技术有限公司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天津交通职业学院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中国中元国际工程有限公司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机械工业第六设计研究院有限公司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京东物流集团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家家悦集团股份有限公司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。</w:t>
      </w:r>
    </w:p>
    <w:p>
      <w:pPr>
        <w:pStyle w:val="24"/>
        <w:numPr>
          <w:ilvl w:val="0"/>
          <w:numId w:val="0"/>
        </w:numPr>
        <w:spacing w:before="156" w:beforeAutospacing="0" w:after="156" w:afterAutospacing="0"/>
        <w:ind w:leftChars="0"/>
        <w:jc w:val="center"/>
        <w:rPr>
          <w:rFonts w:hint="eastAsia" w:ascii="楷体" w:hAnsi="楷体" w:eastAsia="楷体" w:cs="楷体"/>
          <w:color w:val="auto"/>
          <w:sz w:val="28"/>
          <w:szCs w:val="32"/>
        </w:rPr>
      </w:pPr>
      <w:r>
        <w:rPr>
          <w:rFonts w:hint="eastAsia" w:ascii="楷体" w:hAnsi="楷体" w:eastAsia="楷体" w:cs="楷体"/>
          <w:color w:val="auto"/>
          <w:sz w:val="28"/>
          <w:szCs w:val="32"/>
          <w:lang w:val="en-US" w:eastAsia="zh-CN"/>
        </w:rPr>
        <w:t>标准起草</w:t>
      </w:r>
      <w:r>
        <w:rPr>
          <w:rFonts w:hint="eastAsia" w:ascii="楷体" w:hAnsi="楷体" w:eastAsia="楷体" w:cs="楷体"/>
          <w:color w:val="auto"/>
          <w:sz w:val="28"/>
          <w:szCs w:val="32"/>
        </w:rPr>
        <w:t>组</w:t>
      </w:r>
      <w:r>
        <w:rPr>
          <w:rFonts w:hint="eastAsia" w:ascii="楷体" w:hAnsi="楷体" w:eastAsia="楷体" w:cs="楷体"/>
          <w:color w:val="auto"/>
          <w:sz w:val="28"/>
          <w:szCs w:val="32"/>
          <w:lang w:val="en-US" w:eastAsia="zh-CN"/>
        </w:rPr>
        <w:t>单位及</w:t>
      </w:r>
      <w:r>
        <w:rPr>
          <w:rFonts w:hint="eastAsia" w:ascii="楷体" w:hAnsi="楷体" w:eastAsia="楷体" w:cs="楷体"/>
          <w:color w:val="auto"/>
          <w:sz w:val="28"/>
          <w:szCs w:val="32"/>
        </w:rPr>
        <w:t>分工</w:t>
      </w:r>
    </w:p>
    <w:tbl>
      <w:tblPr>
        <w:tblStyle w:val="9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8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4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中国仓储与配送协会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提出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标准总体要求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制定标准编写进度计划，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协调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推进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标准起草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深圳顺丰泰森控股（集团）有限公司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参与标准研讨，提供技术支持（设备方面）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浙江朗奥物流科技有限公司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参与标准研讨，提供技术支持（自动化、智能化设备方面）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诺力智能装备股份有限公司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参与标准研讨，提供技术支持（自动化、智能化设备方面）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深圳市凯东源物流现代物流股份有限公司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参与标准研讨，提供实地调研场景和技术支持（作业流程方面）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天和双力（深圳）智造物流科技有限公司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参与标准研讨，提供技术支持（设备及自动化、智能化技术方面）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浙江省天正设计工程有限公司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参与标准研讨，提供技术支持（设备方面）、编写标准部分内容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宝湾物流控股有限公司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参与标准研讨，提供实技术支持（作业流程与园区规划方面）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中国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中元国际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工程有限公司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提供标准总体架构、技术内容支持（规划流程与方法论）、编写标准部分内容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机械工业第六设计研究院有限公司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提供标准总体架构、技术内容支持（规划流程与方法论）、编写标准部分内容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北京佳速工程技术有限公司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提供标准总体架构、技术内容支持（规划流程与方法论）、编写标准部分内容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京东物流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集团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参与标准研讨，提供实技术支持（作业流程方面）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家家悦集团股份有限公司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参与标准研讨，提供实技术支持（作业流程方面）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45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武汉现代物流研究院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参与标准研讨，提供技术支持（规划咨询方面）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北京伍强智能科技有限公司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参与标准研讨，提供技术支持（设备及自动化、智能化技术方面）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天津交通职业学院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参与标准研讨，提供技术支持（作业实践方面）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山东高盛供应链管理有限公司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参与标准研讨，提供实地调研场景和技术支持（作业流程方面）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青岛德盛利智能装备股份有限公司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参与标准研讨，提供技术支持（设备及智能化方面）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45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无锡轻源建筑设计有限公司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参与标准研讨，提供技术支持（设施规划方面）</w:t>
            </w:r>
          </w:p>
        </w:tc>
      </w:tr>
    </w:tbl>
    <w:p>
      <w:pPr>
        <w:spacing w:line="360" w:lineRule="auto"/>
        <w:ind w:firstLine="600" w:firstLineChars="200"/>
        <w:rPr>
          <w:rFonts w:hint="eastAsia" w:ascii="楷体" w:hAnsi="楷体" w:eastAsia="楷体"/>
          <w:color w:val="FF0000"/>
          <w:sz w:val="30"/>
          <w:szCs w:val="30"/>
        </w:rPr>
      </w:pPr>
    </w:p>
    <w:p>
      <w:pPr>
        <w:spacing w:line="360" w:lineRule="auto"/>
        <w:ind w:firstLine="602" w:firstLineChars="200"/>
        <w:rPr>
          <w:rFonts w:hint="eastAsia" w:ascii="楷体" w:hAnsi="楷体" w:eastAsia="楷体"/>
          <w:b/>
          <w:bCs/>
          <w:color w:val="auto"/>
          <w:sz w:val="30"/>
          <w:szCs w:val="30"/>
        </w:rPr>
      </w:pPr>
      <w:r>
        <w:rPr>
          <w:rFonts w:hint="eastAsia" w:ascii="楷体" w:hAnsi="楷体" w:eastAsia="楷体"/>
          <w:b/>
          <w:bCs/>
          <w:color w:val="auto"/>
          <w:sz w:val="30"/>
          <w:szCs w:val="30"/>
        </w:rPr>
        <w:t>（五）主要工作过程</w:t>
      </w:r>
    </w:p>
    <w:p>
      <w:pPr>
        <w:pStyle w:val="14"/>
        <w:widowControl/>
        <w:ind w:firstLine="560" w:firstLineChars="0"/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/>
        </w:rPr>
        <w:t>1、组建标准工作组。通过多渠道召集起草单位，一是面向社会广泛征集标准起草单位，二是向代表性企业定向邀请，吸纳业内有代表性的专家学者和优秀企业参与标准编制工作。</w:t>
      </w:r>
    </w:p>
    <w:p>
      <w:pPr>
        <w:pStyle w:val="14"/>
        <w:widowControl/>
        <w:ind w:firstLine="560" w:firstLineChars="0"/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</w:rPr>
        <w:t>进行文献检索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</w:rPr>
        <w:t>在知网、万方等专业知识数据库中，通过搜索“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/>
        </w:rPr>
        <w:t>配送中心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</w:rPr>
        <w:t>”“物流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</w:rPr>
        <w:t>”“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/>
        </w:rPr>
        <w:t>规划设计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</w:rPr>
        <w:t>”等关键词，共检索到国内外文献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/>
        </w:rPr>
        <w:t>近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</w:rPr>
        <w:t>百余篇。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/>
        </w:rPr>
        <w:t>在工标网中，检索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</w:rPr>
        <w:t>“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/>
        </w:rPr>
        <w:t>配送中心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</w:rPr>
        <w:t>”“物流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</w:rPr>
        <w:t>”“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/>
        </w:rPr>
        <w:t>规划设计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</w:rPr>
        <w:t>”等关键词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/>
        </w:rPr>
        <w:t>共检索到国家及行业标准近20项，建立标准研究理论基础。</w:t>
      </w:r>
    </w:p>
    <w:p>
      <w:pPr>
        <w:pStyle w:val="14"/>
        <w:widowControl/>
        <w:ind w:firstLine="560"/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</w:rPr>
        <w:t>进行实地调研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</w:rPr>
        <w:t>截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eastAsia="zh-CN"/>
        </w:rPr>
        <w:t>至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/>
        </w:rPr>
        <w:t>4月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</w:rPr>
        <w:t>，中国仓协及起草单位先后走访了上海、北京、广东、四川、浙江等地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/>
        </w:rPr>
        <w:t>商贸流通企业、第三方物流企业的配送（物流）中心30余个，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</w:rPr>
        <w:t>并咨询了多家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/>
        </w:rPr>
        <w:t>规划设计研究院、运营咨询机构，了解、掌握配送中心规划设计相关内容，奠定标准制定实践基础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</w:rPr>
        <w:t>。</w:t>
      </w:r>
    </w:p>
    <w:p>
      <w:pPr>
        <w:pStyle w:val="14"/>
        <w:widowControl/>
        <w:ind w:firstLine="560" w:firstLineChars="0"/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</w:rPr>
        <w:t>组织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/>
        </w:rPr>
        <w:t>专家研讨。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</w:rPr>
        <w:t>月，结合多渠道调研成果和咨询意见，形成了本标准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/>
        </w:rPr>
        <w:t>框架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/>
        </w:rPr>
        <w:t>并组织相关领域专家讨论标准范围边界、核心内容、拟解决的企业和行业关键问题等。</w:t>
      </w:r>
    </w:p>
    <w:p>
      <w:pPr>
        <w:pStyle w:val="14"/>
        <w:widowControl/>
        <w:ind w:firstLine="560"/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/>
        </w:rPr>
        <w:t>5、起草小组讨论会。2022年8月，组织标准起草单位召开小组讨论会，针对标准工作组讨论稿开展讨论，会上起草单位及起草人对标准框架和主要内容达成共识。在中国仓协组织下，按专业特性将起草单位分组，分工完成标准内容的修改和完善工作。</w:t>
      </w:r>
    </w:p>
    <w:p>
      <w:pPr>
        <w:pStyle w:val="14"/>
        <w:widowControl/>
        <w:ind w:firstLine="56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/>
        </w:rPr>
        <w:t>在起草单位共同努力下，经2轮系统地修改和完善，形成本标准征求意见稿。</w:t>
      </w:r>
    </w:p>
    <w:p>
      <w:pPr>
        <w:spacing w:line="360" w:lineRule="auto"/>
        <w:ind w:firstLine="600" w:firstLineChars="200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二、标准制修订原则和内容</w:t>
      </w:r>
    </w:p>
    <w:p>
      <w:pPr>
        <w:spacing w:line="360" w:lineRule="auto"/>
        <w:ind w:firstLine="602" w:firstLineChars="200"/>
        <w:rPr>
          <w:rFonts w:hint="eastAsia" w:ascii="楷体" w:hAnsi="楷体" w:eastAsia="楷体"/>
          <w:b/>
          <w:bCs/>
          <w:color w:val="auto"/>
          <w:sz w:val="30"/>
          <w:szCs w:val="30"/>
        </w:rPr>
      </w:pPr>
      <w:r>
        <w:rPr>
          <w:rFonts w:hint="eastAsia" w:ascii="楷体" w:hAnsi="楷体" w:eastAsia="楷体"/>
          <w:b/>
          <w:bCs/>
          <w:color w:val="auto"/>
          <w:sz w:val="30"/>
          <w:szCs w:val="30"/>
        </w:rPr>
        <w:t>（一）制订原则</w:t>
      </w:r>
    </w:p>
    <w:p>
      <w:pPr>
        <w:pStyle w:val="14"/>
        <w:widowControl/>
        <w:ind w:firstLine="560"/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/>
        </w:rPr>
        <w:t>本标准严格按照《GB/T 1.1-2020 标准化工作导则  第1部分：标准化文件的结构和起草规则》编写。在编写时，同样注重标准内容的科学性、协调性、实用性，注重与其他相关标准的协调统一性。</w:t>
      </w:r>
    </w:p>
    <w:p>
      <w:pPr>
        <w:spacing w:line="360" w:lineRule="auto"/>
        <w:ind w:firstLine="602" w:firstLineChars="200"/>
        <w:rPr>
          <w:rFonts w:ascii="楷体" w:hAnsi="楷体" w:eastAsia="楷体"/>
          <w:b/>
          <w:bCs/>
          <w:color w:val="auto"/>
          <w:sz w:val="30"/>
          <w:szCs w:val="30"/>
        </w:rPr>
      </w:pPr>
      <w:r>
        <w:rPr>
          <w:rFonts w:hint="eastAsia" w:ascii="楷体" w:hAnsi="楷体" w:eastAsia="楷体"/>
          <w:b/>
          <w:bCs/>
          <w:color w:val="auto"/>
          <w:sz w:val="30"/>
          <w:szCs w:val="30"/>
        </w:rPr>
        <w:t>（二）主要制订内容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 w:bidi="ar-SA"/>
        </w:rPr>
        <w:t>本文件提供了配送中心规划设计的指导和建议，给出了配送中心规划设计的总体原则、规划内容与步骤，以及规划准备、作业流程规划、设备规划与选用、信息系统规划、区域规划及规划评估过程中需要考虑的要点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 w:bidi="ar-SA"/>
        </w:rPr>
        <w:t>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 w:bidi="ar-SA"/>
        </w:rPr>
        <w:t>本标准适用于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0"/>
          <w:szCs w:val="30"/>
          <w:lang w:val="en-US" w:eastAsia="zh-CN" w:bidi="ar-SA"/>
        </w:rPr>
        <w:t>常温配送中心的规划设计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 w:bidi="ar-SA"/>
        </w:rPr>
        <w:t>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 w:bidi="ar-SA"/>
        </w:rPr>
        <w:t>本标准关键内容包括规划设计总则、规划准备、作业流程、功能区域、动线、设备选用、信息系统规划共7部分。其中：</w:t>
      </w:r>
    </w:p>
    <w:p>
      <w:pPr>
        <w:spacing w:line="360" w:lineRule="auto"/>
        <w:ind w:firstLine="600" w:firstLineChars="200"/>
        <w:rPr>
          <w:rFonts w:hint="default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 w:bidi="ar-SA"/>
        </w:rPr>
        <w:t>第1部分：总则。理清了在配送中心规划设计全过程中，需要遵循的总体原则，贯穿于后续所有规划设计内容。包括适配性、经济性、扩展性和绿色化。</w:t>
      </w:r>
    </w:p>
    <w:p>
      <w:pPr>
        <w:spacing w:line="360" w:lineRule="auto"/>
        <w:ind w:firstLine="600" w:firstLineChars="200"/>
        <w:rPr>
          <w:rFonts w:hint="default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 w:bidi="ar-SA"/>
        </w:rPr>
        <w:t>第2部分：规划内容与步骤。提出了配送中心规划设计主要内容及步骤。</w:t>
      </w:r>
    </w:p>
    <w:p>
      <w:pPr>
        <w:spacing w:line="360" w:lineRule="auto"/>
        <w:ind w:firstLine="600" w:firstLineChars="200"/>
        <w:rPr>
          <w:rFonts w:hint="default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 w:bidi="ar-SA"/>
        </w:rPr>
        <w:t>第3部分：规划准备。配送中心规划设计前，须进行现状与需求调研、数据分析，以确定配送中的定位和规模、功能与模式和选址等。</w:t>
      </w:r>
    </w:p>
    <w:p>
      <w:pPr>
        <w:spacing w:line="360" w:lineRule="auto"/>
        <w:ind w:firstLine="600" w:firstLineChars="200"/>
        <w:rPr>
          <w:rFonts w:hint="default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 w:bidi="ar-SA"/>
        </w:rPr>
        <w:t>第4部分：作业流程。提出了配送中心通用作业流程，包括入库、在库、出库及退货等细分流程中的作业环节。</w:t>
      </w:r>
    </w:p>
    <w:p>
      <w:pPr>
        <w:pStyle w:val="21"/>
        <w:ind w:firstLine="420"/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 w:bidi="ar-SA"/>
        </w:rPr>
        <w:t>第5部分：设备规划与选用。总结了配送中心常用设备及选用规则，包括储存、装卸搬运、分拣、包装等设备及物流单元器具。</w:t>
      </w:r>
      <w:bookmarkStart w:id="0" w:name="_Toc115425245"/>
      <w:bookmarkEnd w:id="0"/>
      <w:bookmarkStart w:id="1" w:name="_Toc115425920"/>
      <w:bookmarkEnd w:id="1"/>
    </w:p>
    <w:p>
      <w:pPr>
        <w:pStyle w:val="21"/>
        <w:ind w:firstLine="420"/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 w:bidi="ar-SA"/>
        </w:rPr>
        <w:t>第6部分：信息系统。对信息系统构成和功能模块给出了建议，并提出了不同系统宜具备的具体功能，强调了全流程信息管理、信息系统间无缝衔接的重要性。</w:t>
      </w:r>
    </w:p>
    <w:p>
      <w:pPr>
        <w:pStyle w:val="21"/>
        <w:ind w:firstLine="420"/>
        <w:rPr>
          <w:rFonts w:hint="default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 w:bidi="ar-SA"/>
        </w:rPr>
        <w:t>第7部分：区域规划。分为区域功能规划、区域面积规划、区域位置规划、主体建筑及道路规划要点。</w:t>
      </w:r>
    </w:p>
    <w:p>
      <w:pPr>
        <w:pStyle w:val="21"/>
        <w:ind w:firstLine="420"/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 w:bidi="ar-SA"/>
        </w:rPr>
        <w:t>第8部分：规划评估。</w:t>
      </w:r>
    </w:p>
    <w:p>
      <w:pPr>
        <w:pStyle w:val="21"/>
        <w:ind w:firstLine="420"/>
        <w:rPr>
          <w:rFonts w:hint="default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 w:bidi="ar-SA"/>
        </w:rPr>
        <w:t>第9部分：附录。对物流作业及辅助作业区规划要点，功能区域布局、物流动线形式、规划评估等内容进行了细化。</w:t>
      </w:r>
    </w:p>
    <w:p>
      <w:pPr>
        <w:spacing w:line="360" w:lineRule="auto"/>
        <w:ind w:firstLine="600" w:firstLineChars="200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三、与国际、国外有关法规和标准水平的比对分析</w:t>
      </w:r>
    </w:p>
    <w:p>
      <w:pPr>
        <w:pStyle w:val="14"/>
        <w:widowControl/>
        <w:ind w:firstLine="560"/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/>
        </w:rPr>
        <w:t>国际上尚无同类标准。</w:t>
      </w:r>
    </w:p>
    <w:p>
      <w:pPr>
        <w:spacing w:line="360" w:lineRule="auto"/>
        <w:ind w:firstLine="600" w:firstLineChars="200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四、与有关现行法律、行政法规和其他强制性标准的关系，配套推荐性标准的情况</w:t>
      </w:r>
    </w:p>
    <w:p>
      <w:pPr>
        <w:pStyle w:val="14"/>
        <w:widowControl/>
        <w:ind w:left="0" w:leftChars="0" w:firstLine="600" w:firstLineChars="200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本标准符合现行相关法律、法规的规定，与现有标准和制定中的标准，特别是强制性标准无冲突之处。</w:t>
      </w:r>
    </w:p>
    <w:p>
      <w:pPr>
        <w:spacing w:line="360" w:lineRule="auto"/>
        <w:ind w:firstLine="600" w:firstLineChars="200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五、重大分歧意见的处理过程及依据</w:t>
      </w:r>
    </w:p>
    <w:p>
      <w:pPr>
        <w:pStyle w:val="14"/>
        <w:widowControl/>
        <w:ind w:left="0" w:leftChars="0" w:firstLine="600" w:firstLineChars="200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暂无重大分歧意见</w:t>
      </w:r>
    </w:p>
    <w:p>
      <w:pPr>
        <w:spacing w:line="360" w:lineRule="auto"/>
        <w:ind w:firstLine="600" w:firstLineChars="200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六、实施标准所需要的技术改造、成本投入、老旧产品退出市场时间、实施标准可能造成的社会影响等因素分析，以及根据这些因素提出的标准实施日期建议</w:t>
      </w:r>
    </w:p>
    <w:p>
      <w:pPr>
        <w:spacing w:line="360" w:lineRule="auto"/>
        <w:ind w:left="0" w:right="0" w:firstLine="600" w:firstLineChars="200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无</w:t>
      </w:r>
    </w:p>
    <w:p>
      <w:pPr>
        <w:spacing w:line="360" w:lineRule="auto"/>
        <w:ind w:firstLine="600" w:firstLineChars="200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七、实施标准的有关政策措施</w:t>
      </w:r>
    </w:p>
    <w:p>
      <w:pPr>
        <w:spacing w:line="360" w:lineRule="auto"/>
        <w:ind w:firstLine="600" w:firstLineChars="200"/>
        <w:rPr>
          <w:rFonts w:hint="default" w:ascii="黑体" w:hAnsi="黑体" w:eastAsia="黑体"/>
          <w:color w:val="auto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建议将本标准纳入行业相关政策和财政支持政策，引导业内企业重视配送中心前期规划设计。</w:t>
      </w:r>
    </w:p>
    <w:p>
      <w:pPr>
        <w:spacing w:line="360" w:lineRule="auto"/>
        <w:ind w:firstLine="600" w:firstLineChars="200"/>
        <w:rPr>
          <w:rFonts w:hint="default" w:ascii="仿宋" w:hAnsi="仿宋" w:eastAsia="仿宋" w:cs="仿宋"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八、预期达到的社会效益、对产业发展的作用等情况</w:t>
      </w:r>
    </w:p>
    <w:p>
      <w:pPr>
        <w:pStyle w:val="14"/>
        <w:widowControl/>
        <w:ind w:left="0" w:leftChars="0" w:firstLine="600" w:firstLineChars="200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本标准的实施，将有效引导企业科学合理规划设计配送中心，一方面可减少因配送中心设计不良导致的后续改造成本，另一方面可提高物流作业效率，更高效、高质满足客户需求，支撑商贸流通发展。</w:t>
      </w:r>
    </w:p>
    <w:p>
      <w:pPr>
        <w:spacing w:line="360" w:lineRule="auto"/>
        <w:ind w:firstLine="600" w:firstLineChars="200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九、涉及专利的有关说明</w:t>
      </w:r>
    </w:p>
    <w:p>
      <w:pPr>
        <w:pStyle w:val="14"/>
        <w:widowControl/>
        <w:ind w:left="0" w:leftChars="0" w:firstLine="600" w:firstLineChars="200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本标准内容不涉及专利。</w:t>
      </w:r>
    </w:p>
    <w:p>
      <w:pPr>
        <w:spacing w:line="360" w:lineRule="auto"/>
        <w:ind w:firstLine="600" w:firstLineChars="200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十、其他应予说明的事项</w:t>
      </w:r>
    </w:p>
    <w:p>
      <w:pPr>
        <w:spacing w:line="360" w:lineRule="auto"/>
        <w:ind w:left="0" w:right="0" w:firstLine="602" w:firstLineChars="200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  <w:t>（一）关于标准名称修改。</w:t>
      </w:r>
    </w:p>
    <w:p>
      <w:pPr>
        <w:spacing w:line="360" w:lineRule="auto"/>
        <w:ind w:left="0" w:right="0" w:firstLine="600" w:firstLineChars="200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无</w:t>
      </w:r>
    </w:p>
    <w:p>
      <w:pPr>
        <w:spacing w:line="360" w:lineRule="auto"/>
        <w:ind w:left="0" w:right="0" w:firstLine="602" w:firstLineChars="200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  <w:t>（二）关于对外通报。</w:t>
      </w:r>
    </w:p>
    <w:p>
      <w:pPr>
        <w:spacing w:line="360" w:lineRule="auto"/>
        <w:ind w:left="0" w:right="0" w:firstLine="600" w:firstLineChars="200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无</w:t>
      </w:r>
    </w:p>
    <w:p>
      <w:pPr>
        <w:pStyle w:val="14"/>
        <w:widowControl/>
        <w:ind w:left="0" w:leftChars="0" w:firstLine="0" w:firstLineChars="0"/>
        <w:rPr>
          <w:rFonts w:ascii="仿宋" w:hAnsi="仿宋" w:eastAsia="仿宋" w:cs="仿宋"/>
          <w:bCs/>
          <w:color w:val="auto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5088792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B5D9F5"/>
    <w:multiLevelType w:val="multilevel"/>
    <w:tmpl w:val="F4B5D9F5"/>
    <w:lvl w:ilvl="0" w:tentative="0">
      <w:start w:val="1"/>
      <w:numFmt w:val="decimal"/>
      <w:pStyle w:val="24"/>
      <w:suff w:val="nothing"/>
      <w:lvlText w:val="表%1　"/>
      <w:lvlJc w:val="left"/>
      <w:pPr>
        <w:ind w:left="0" w:firstLine="0"/>
      </w:p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</w:lvl>
    <w:lvl w:ilvl="2" w:tentative="0">
      <w:start w:val="1"/>
      <w:numFmt w:val="decimal"/>
      <w:lvlText w:val="%1.%2.%3"/>
      <w:lvlJc w:val="left"/>
      <w:pPr>
        <w:tabs>
          <w:tab w:val="left" w:pos="1417"/>
        </w:tabs>
        <w:ind w:left="1417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5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557C2AF5"/>
    <w:multiLevelType w:val="multilevel"/>
    <w:tmpl w:val="557C2AF5"/>
    <w:lvl w:ilvl="0" w:tentative="0">
      <w:start w:val="1"/>
      <w:numFmt w:val="decimal"/>
      <w:pStyle w:val="28"/>
      <w:suff w:val="nothing"/>
      <w:lvlText w:val="图%1　"/>
      <w:lvlJc w:val="left"/>
      <w:pPr>
        <w:ind w:left="0" w:firstLine="0"/>
      </w:p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3">
    <w:nsid w:val="5603797C"/>
    <w:multiLevelType w:val="multilevel"/>
    <w:tmpl w:val="5603797C"/>
    <w:lvl w:ilvl="0" w:tentative="0">
      <w:start w:val="1"/>
      <w:numFmt w:val="upperLetter"/>
      <w:suff w:val="space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31"/>
      <w:suff w:val="space"/>
      <w:lvlText w:val="表%1.%2"/>
      <w:lvlJc w:val="center"/>
      <w:pPr>
        <w:ind w:left="0" w:firstLine="0"/>
      </w:pPr>
      <w:rPr>
        <w:rFonts w:hint="eastAsia" w:ascii="黑体" w:eastAsia="黑体"/>
        <w:sz w:val="21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657D3FBC"/>
    <w:multiLevelType w:val="multilevel"/>
    <w:tmpl w:val="657D3FBC"/>
    <w:lvl w:ilvl="0" w:tentative="0">
      <w:start w:val="1"/>
      <w:numFmt w:val="upperLetter"/>
      <w:pStyle w:val="30"/>
      <w:suff w:val="nothing"/>
      <w:lvlText w:val="附录%1"/>
      <w:lvlJc w:val="left"/>
      <w:pPr>
        <w:ind w:left="0" w:firstLine="0"/>
      </w:pPr>
      <w:rPr>
        <w:rFonts w:hint="eastAsia"/>
        <w:spacing w:val="100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5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0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pStyle w:val="19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</w:rPr>
    </w:lvl>
    <w:lvl w:ilvl="3" w:tentative="0">
      <w:start w:val="1"/>
      <w:numFmt w:val="decimal"/>
      <w:pStyle w:val="27"/>
      <w:suff w:val="nothing"/>
      <w:lvlText w:val="%1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UwMTgxYjZlNzA4YjMwZmU2NDgwMDY2MDE0N2Y1ZDYifQ=="/>
  </w:docVars>
  <w:rsids>
    <w:rsidRoot w:val="6A53009D"/>
    <w:rsid w:val="000208C6"/>
    <w:rsid w:val="000263F7"/>
    <w:rsid w:val="000977E4"/>
    <w:rsid w:val="000A6409"/>
    <w:rsid w:val="000F22AC"/>
    <w:rsid w:val="001626BC"/>
    <w:rsid w:val="00173A41"/>
    <w:rsid w:val="00180B0D"/>
    <w:rsid w:val="001C0FDE"/>
    <w:rsid w:val="00264A0F"/>
    <w:rsid w:val="002809B3"/>
    <w:rsid w:val="002D4DFF"/>
    <w:rsid w:val="002E2A59"/>
    <w:rsid w:val="002E45DF"/>
    <w:rsid w:val="003A3097"/>
    <w:rsid w:val="003B4CAC"/>
    <w:rsid w:val="003C4E3A"/>
    <w:rsid w:val="00407F2C"/>
    <w:rsid w:val="00467F64"/>
    <w:rsid w:val="00487F25"/>
    <w:rsid w:val="004F2EF2"/>
    <w:rsid w:val="005118B0"/>
    <w:rsid w:val="00526D26"/>
    <w:rsid w:val="005452CB"/>
    <w:rsid w:val="00567656"/>
    <w:rsid w:val="005C7961"/>
    <w:rsid w:val="005D5970"/>
    <w:rsid w:val="005E4058"/>
    <w:rsid w:val="007042F9"/>
    <w:rsid w:val="007743D1"/>
    <w:rsid w:val="007B64EF"/>
    <w:rsid w:val="007E3E47"/>
    <w:rsid w:val="00820FC0"/>
    <w:rsid w:val="008515BC"/>
    <w:rsid w:val="0087699B"/>
    <w:rsid w:val="00881F70"/>
    <w:rsid w:val="00883789"/>
    <w:rsid w:val="008909FF"/>
    <w:rsid w:val="008E4748"/>
    <w:rsid w:val="008F45C6"/>
    <w:rsid w:val="00902204"/>
    <w:rsid w:val="00955B13"/>
    <w:rsid w:val="00961358"/>
    <w:rsid w:val="00983F8C"/>
    <w:rsid w:val="009850A0"/>
    <w:rsid w:val="009B0B77"/>
    <w:rsid w:val="009C56D5"/>
    <w:rsid w:val="00A16AA4"/>
    <w:rsid w:val="00A250E5"/>
    <w:rsid w:val="00A76DA2"/>
    <w:rsid w:val="00AA2C72"/>
    <w:rsid w:val="00AE518D"/>
    <w:rsid w:val="00B460FA"/>
    <w:rsid w:val="00C61A6E"/>
    <w:rsid w:val="00CE3BDE"/>
    <w:rsid w:val="00CE5864"/>
    <w:rsid w:val="00D31703"/>
    <w:rsid w:val="00D807E6"/>
    <w:rsid w:val="00E025BF"/>
    <w:rsid w:val="00E07C06"/>
    <w:rsid w:val="00E617CE"/>
    <w:rsid w:val="00E84D4F"/>
    <w:rsid w:val="00E97DD9"/>
    <w:rsid w:val="00F27502"/>
    <w:rsid w:val="00F31758"/>
    <w:rsid w:val="00F7345E"/>
    <w:rsid w:val="00FB6B8A"/>
    <w:rsid w:val="00FE27D9"/>
    <w:rsid w:val="00FE3B30"/>
    <w:rsid w:val="00FE3C46"/>
    <w:rsid w:val="00FE5DAF"/>
    <w:rsid w:val="01C20624"/>
    <w:rsid w:val="02624367"/>
    <w:rsid w:val="02932CB7"/>
    <w:rsid w:val="02EB3F13"/>
    <w:rsid w:val="03CD3E50"/>
    <w:rsid w:val="03DD0DA6"/>
    <w:rsid w:val="04023854"/>
    <w:rsid w:val="0435036F"/>
    <w:rsid w:val="043F3CEE"/>
    <w:rsid w:val="04BF2A6E"/>
    <w:rsid w:val="05292E39"/>
    <w:rsid w:val="06036290"/>
    <w:rsid w:val="06737D86"/>
    <w:rsid w:val="06A60AE2"/>
    <w:rsid w:val="06DD7643"/>
    <w:rsid w:val="088E4B62"/>
    <w:rsid w:val="088F4DB8"/>
    <w:rsid w:val="09D441DD"/>
    <w:rsid w:val="0A320E62"/>
    <w:rsid w:val="0A6B0803"/>
    <w:rsid w:val="0B683AE5"/>
    <w:rsid w:val="0C4022AE"/>
    <w:rsid w:val="0D79071F"/>
    <w:rsid w:val="0D7D394A"/>
    <w:rsid w:val="0DC854F1"/>
    <w:rsid w:val="0F0240CB"/>
    <w:rsid w:val="0F595896"/>
    <w:rsid w:val="10EA30A4"/>
    <w:rsid w:val="111416F3"/>
    <w:rsid w:val="112868BC"/>
    <w:rsid w:val="11EC4C1F"/>
    <w:rsid w:val="13045395"/>
    <w:rsid w:val="130E19EA"/>
    <w:rsid w:val="136D0728"/>
    <w:rsid w:val="13804E88"/>
    <w:rsid w:val="13845A7B"/>
    <w:rsid w:val="138630FC"/>
    <w:rsid w:val="1407344C"/>
    <w:rsid w:val="149D18B5"/>
    <w:rsid w:val="15320ABD"/>
    <w:rsid w:val="16D51A53"/>
    <w:rsid w:val="171170A9"/>
    <w:rsid w:val="173A209C"/>
    <w:rsid w:val="1768496D"/>
    <w:rsid w:val="17E31E16"/>
    <w:rsid w:val="17EB077C"/>
    <w:rsid w:val="1813791A"/>
    <w:rsid w:val="181E1739"/>
    <w:rsid w:val="189C613A"/>
    <w:rsid w:val="18D949E1"/>
    <w:rsid w:val="197468BA"/>
    <w:rsid w:val="1A2024D1"/>
    <w:rsid w:val="1B250A00"/>
    <w:rsid w:val="1B8A3F62"/>
    <w:rsid w:val="1D0532C3"/>
    <w:rsid w:val="1D987EC5"/>
    <w:rsid w:val="1E220701"/>
    <w:rsid w:val="1E8C5B60"/>
    <w:rsid w:val="1EC56DEB"/>
    <w:rsid w:val="1F8B4E3C"/>
    <w:rsid w:val="1FB258E8"/>
    <w:rsid w:val="21413014"/>
    <w:rsid w:val="21C80DCD"/>
    <w:rsid w:val="2261360F"/>
    <w:rsid w:val="22A6414F"/>
    <w:rsid w:val="22D621D7"/>
    <w:rsid w:val="22E00CF8"/>
    <w:rsid w:val="233B1554"/>
    <w:rsid w:val="2520378C"/>
    <w:rsid w:val="253F18FE"/>
    <w:rsid w:val="25DC73EE"/>
    <w:rsid w:val="26AD11D6"/>
    <w:rsid w:val="27193427"/>
    <w:rsid w:val="279269AE"/>
    <w:rsid w:val="29043D92"/>
    <w:rsid w:val="2A034656"/>
    <w:rsid w:val="2AEC357A"/>
    <w:rsid w:val="2AED5F2F"/>
    <w:rsid w:val="2B30421D"/>
    <w:rsid w:val="2B4C0FA3"/>
    <w:rsid w:val="2B92619D"/>
    <w:rsid w:val="2CAE223E"/>
    <w:rsid w:val="2E2A7A67"/>
    <w:rsid w:val="2E962EED"/>
    <w:rsid w:val="2F2218D6"/>
    <w:rsid w:val="301D44E9"/>
    <w:rsid w:val="35AD23E0"/>
    <w:rsid w:val="37007DB2"/>
    <w:rsid w:val="370C782C"/>
    <w:rsid w:val="377261A3"/>
    <w:rsid w:val="379219F3"/>
    <w:rsid w:val="37956A7A"/>
    <w:rsid w:val="37AB63EA"/>
    <w:rsid w:val="37E81BAC"/>
    <w:rsid w:val="37FC0385"/>
    <w:rsid w:val="383F7818"/>
    <w:rsid w:val="38F511E7"/>
    <w:rsid w:val="38F94A56"/>
    <w:rsid w:val="3941769E"/>
    <w:rsid w:val="3958517D"/>
    <w:rsid w:val="39A52218"/>
    <w:rsid w:val="39E54856"/>
    <w:rsid w:val="3A5C70FE"/>
    <w:rsid w:val="3ABA38C3"/>
    <w:rsid w:val="3C096935"/>
    <w:rsid w:val="3CC57A35"/>
    <w:rsid w:val="3CD53476"/>
    <w:rsid w:val="3D08531B"/>
    <w:rsid w:val="3E5B7AE8"/>
    <w:rsid w:val="3F0A5D15"/>
    <w:rsid w:val="404B1C32"/>
    <w:rsid w:val="40D5151B"/>
    <w:rsid w:val="40D87D73"/>
    <w:rsid w:val="410164E7"/>
    <w:rsid w:val="42C504B4"/>
    <w:rsid w:val="43D063DF"/>
    <w:rsid w:val="44EC00B6"/>
    <w:rsid w:val="46D33152"/>
    <w:rsid w:val="480D334D"/>
    <w:rsid w:val="495C3700"/>
    <w:rsid w:val="4BA507A6"/>
    <w:rsid w:val="4C474E4E"/>
    <w:rsid w:val="4D901A58"/>
    <w:rsid w:val="4DFF1BB6"/>
    <w:rsid w:val="4E125FFA"/>
    <w:rsid w:val="4E501046"/>
    <w:rsid w:val="4F10391C"/>
    <w:rsid w:val="4F3955E3"/>
    <w:rsid w:val="501471FE"/>
    <w:rsid w:val="50AF5AD3"/>
    <w:rsid w:val="50B42DD2"/>
    <w:rsid w:val="50EA3B17"/>
    <w:rsid w:val="52B2163C"/>
    <w:rsid w:val="52C01F64"/>
    <w:rsid w:val="53F729C3"/>
    <w:rsid w:val="544604EE"/>
    <w:rsid w:val="548428AC"/>
    <w:rsid w:val="56620EAC"/>
    <w:rsid w:val="579332CD"/>
    <w:rsid w:val="57A601D4"/>
    <w:rsid w:val="57E37339"/>
    <w:rsid w:val="59491513"/>
    <w:rsid w:val="5A1E5768"/>
    <w:rsid w:val="5A2A2D3F"/>
    <w:rsid w:val="5A8D3706"/>
    <w:rsid w:val="5C156CD9"/>
    <w:rsid w:val="5C214C4A"/>
    <w:rsid w:val="5CEE6D58"/>
    <w:rsid w:val="5D6057B6"/>
    <w:rsid w:val="5DBC67E2"/>
    <w:rsid w:val="5E167250"/>
    <w:rsid w:val="5E564E68"/>
    <w:rsid w:val="5E7775C0"/>
    <w:rsid w:val="5F4E0B69"/>
    <w:rsid w:val="5F5D2804"/>
    <w:rsid w:val="5FB628AE"/>
    <w:rsid w:val="60E4680F"/>
    <w:rsid w:val="62311E23"/>
    <w:rsid w:val="62651C3D"/>
    <w:rsid w:val="62823699"/>
    <w:rsid w:val="62962E09"/>
    <w:rsid w:val="62B03306"/>
    <w:rsid w:val="62C84BC3"/>
    <w:rsid w:val="6536645B"/>
    <w:rsid w:val="663B52B6"/>
    <w:rsid w:val="672264FB"/>
    <w:rsid w:val="67394A25"/>
    <w:rsid w:val="68046D98"/>
    <w:rsid w:val="689C0348"/>
    <w:rsid w:val="68D47A53"/>
    <w:rsid w:val="6968790B"/>
    <w:rsid w:val="69811CC5"/>
    <w:rsid w:val="6A53009D"/>
    <w:rsid w:val="6A5A6AAF"/>
    <w:rsid w:val="6B594FC1"/>
    <w:rsid w:val="6B623CE9"/>
    <w:rsid w:val="6BB44D04"/>
    <w:rsid w:val="6BD003D4"/>
    <w:rsid w:val="6C4542DB"/>
    <w:rsid w:val="6C5B48B2"/>
    <w:rsid w:val="6D2D2188"/>
    <w:rsid w:val="6D9662AC"/>
    <w:rsid w:val="6EEA0231"/>
    <w:rsid w:val="6EF039D3"/>
    <w:rsid w:val="6F6E57CB"/>
    <w:rsid w:val="708B4881"/>
    <w:rsid w:val="714E4C56"/>
    <w:rsid w:val="71AA5FAD"/>
    <w:rsid w:val="720F3968"/>
    <w:rsid w:val="73887C96"/>
    <w:rsid w:val="73B4269D"/>
    <w:rsid w:val="745148D6"/>
    <w:rsid w:val="754527CE"/>
    <w:rsid w:val="769A1A96"/>
    <w:rsid w:val="76D232A7"/>
    <w:rsid w:val="76D407D8"/>
    <w:rsid w:val="76E4005D"/>
    <w:rsid w:val="781C2695"/>
    <w:rsid w:val="78D62FF2"/>
    <w:rsid w:val="78DD7C2D"/>
    <w:rsid w:val="7AD13FB4"/>
    <w:rsid w:val="7B29300A"/>
    <w:rsid w:val="7B411564"/>
    <w:rsid w:val="7BB27BDA"/>
    <w:rsid w:val="7BBD6F72"/>
    <w:rsid w:val="7C19647A"/>
    <w:rsid w:val="7C2546A3"/>
    <w:rsid w:val="7C6227CA"/>
    <w:rsid w:val="7CD37B7C"/>
    <w:rsid w:val="7CF36E72"/>
    <w:rsid w:val="7D455504"/>
    <w:rsid w:val="7E3278C5"/>
    <w:rsid w:val="7EA3027A"/>
    <w:rsid w:val="7F2F5C32"/>
    <w:rsid w:val="7F9D4CB5"/>
    <w:rsid w:val="7FEC6353"/>
    <w:rsid w:val="FFAFF0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unhideWhenUsed/>
    <w:qFormat/>
    <w:uiPriority w:val="39"/>
    <w:rPr>
      <w:rFonts w:ascii="宋体"/>
    </w:rPr>
  </w:style>
  <w:style w:type="paragraph" w:styleId="6">
    <w:name w:val="footnote text"/>
    <w:basedOn w:val="1"/>
    <w:link w:val="22"/>
    <w:qFormat/>
    <w:uiPriority w:val="0"/>
    <w:pPr>
      <w:snapToGrid w:val="0"/>
      <w:jc w:val="left"/>
    </w:pPr>
    <w:rPr>
      <w:sz w:val="18"/>
    </w:rPr>
  </w:style>
  <w:style w:type="paragraph" w:styleId="7">
    <w:name w:val="toc 2"/>
    <w:basedOn w:val="1"/>
    <w:next w:val="1"/>
    <w:unhideWhenUsed/>
    <w:qFormat/>
    <w:uiPriority w:val="39"/>
    <w:pPr>
      <w:tabs>
        <w:tab w:val="right" w:leader="dot" w:pos="9344"/>
      </w:tabs>
      <w:spacing w:line="300" w:lineRule="exact"/>
      <w:ind w:left="210"/>
    </w:pPr>
    <w:rPr>
      <w:rFonts w:ascii="宋体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styleId="13">
    <w:name w:val="footnote reference"/>
    <w:basedOn w:val="10"/>
    <w:qFormat/>
    <w:uiPriority w:val="0"/>
    <w:rPr>
      <w:vertAlign w:val="superscript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一级条标题"/>
    <w:next w:val="16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7">
    <w:name w:val="页眉 字符"/>
    <w:basedOn w:val="10"/>
    <w:link w:val="4"/>
    <w:qFormat/>
    <w:uiPriority w:val="0"/>
    <w:rPr>
      <w:kern w:val="2"/>
      <w:sz w:val="18"/>
      <w:szCs w:val="18"/>
    </w:rPr>
  </w:style>
  <w:style w:type="character" w:customStyle="1" w:styleId="18">
    <w:name w:val="页脚 字符"/>
    <w:basedOn w:val="10"/>
    <w:link w:val="3"/>
    <w:qFormat/>
    <w:uiPriority w:val="99"/>
    <w:rPr>
      <w:kern w:val="2"/>
      <w:sz w:val="18"/>
      <w:szCs w:val="18"/>
    </w:rPr>
  </w:style>
  <w:style w:type="paragraph" w:customStyle="1" w:styleId="19">
    <w:name w:val="标准文件_一级条标题"/>
    <w:basedOn w:val="20"/>
    <w:next w:val="21"/>
    <w:qFormat/>
    <w:uiPriority w:val="0"/>
    <w:pPr>
      <w:numPr>
        <w:ilvl w:val="2"/>
      </w:numPr>
      <w:spacing w:beforeLines="50" w:afterLines="50"/>
      <w:outlineLvl w:val="1"/>
    </w:pPr>
  </w:style>
  <w:style w:type="paragraph" w:customStyle="1" w:styleId="20">
    <w:name w:val="标准文件_章标题"/>
    <w:next w:val="21"/>
    <w:qFormat/>
    <w:uiPriority w:val="0"/>
    <w:pPr>
      <w:numPr>
        <w:ilvl w:val="1"/>
        <w:numId w:val="2"/>
      </w:numPr>
      <w:spacing w:beforeLines="100" w:afterLines="100"/>
      <w:jc w:val="both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1">
    <w:name w:val="标准文件_段"/>
    <w:link w:val="23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2">
    <w:name w:val="脚注文本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22"/>
    </w:rPr>
  </w:style>
  <w:style w:type="character" w:customStyle="1" w:styleId="23">
    <w:name w:val="标准文件_段 Char"/>
    <w:link w:val="21"/>
    <w:qFormat/>
    <w:uiPriority w:val="0"/>
    <w:rPr>
      <w:rFonts w:ascii="宋体"/>
      <w:sz w:val="21"/>
    </w:rPr>
  </w:style>
  <w:style w:type="paragraph" w:customStyle="1" w:styleId="24">
    <w:name w:val="标准文件_正文表标题"/>
    <w:next w:val="21"/>
    <w:qFormat/>
    <w:uiPriority w:val="0"/>
    <w:pPr>
      <w:numPr>
        <w:ilvl w:val="0"/>
        <w:numId w:val="3"/>
      </w:numPr>
      <w:tabs>
        <w:tab w:val="left" w:pos="0"/>
      </w:tabs>
      <w:spacing w:beforeLines="50" w:beforeAutospacing="0" w:afterLines="50" w:afterAutospacing="0"/>
      <w:jc w:val="center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25">
    <w:name w:val="标准文件_目录标题"/>
    <w:basedOn w:val="1"/>
    <w:qFormat/>
    <w:uiPriority w:val="0"/>
    <w:pPr>
      <w:spacing w:before="480" w:afterLines="150" w:line="240" w:lineRule="auto"/>
      <w:jc w:val="center"/>
    </w:pPr>
    <w:rPr>
      <w:rFonts w:ascii="黑体" w:eastAsia="黑体"/>
      <w:sz w:val="32"/>
    </w:rPr>
  </w:style>
  <w:style w:type="paragraph" w:customStyle="1" w:styleId="26">
    <w:name w:val="标准文件_二级无标题"/>
    <w:basedOn w:val="27"/>
    <w:qFormat/>
    <w:uiPriority w:val="0"/>
    <w:pPr>
      <w:spacing w:beforeLines="0" w:afterLines="0"/>
      <w:outlineLvl w:val="9"/>
    </w:pPr>
    <w:rPr>
      <w:rFonts w:ascii="宋体" w:eastAsia="宋体"/>
    </w:rPr>
  </w:style>
  <w:style w:type="paragraph" w:customStyle="1" w:styleId="27">
    <w:name w:val="标准文件_二级条标题"/>
    <w:next w:val="21"/>
    <w:qFormat/>
    <w:uiPriority w:val="0"/>
    <w:pPr>
      <w:widowControl w:val="0"/>
      <w:numPr>
        <w:ilvl w:val="3"/>
        <w:numId w:val="2"/>
      </w:numPr>
      <w:spacing w:beforeLines="50" w:afterLines="50"/>
      <w:jc w:val="both"/>
      <w:outlineLvl w:val="2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8">
    <w:name w:val="标准文件_正文图标题"/>
    <w:next w:val="21"/>
    <w:qFormat/>
    <w:uiPriority w:val="0"/>
    <w:pPr>
      <w:numPr>
        <w:ilvl w:val="0"/>
        <w:numId w:val="4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9">
    <w:name w:val="标准文件_正文标准名称"/>
    <w:qFormat/>
    <w:uiPriority w:val="0"/>
    <w:pPr>
      <w:spacing w:before="560" w:after="640" w:line="400" w:lineRule="exact"/>
      <w:jc w:val="center"/>
    </w:pPr>
    <w:rPr>
      <w:rFonts w:ascii="黑体" w:hAnsi="黑体" w:eastAsia="黑体" w:cs="Times New Roman"/>
      <w:kern w:val="2"/>
      <w:sz w:val="32"/>
      <w:szCs w:val="32"/>
      <w:lang w:val="en-US" w:eastAsia="zh-CN" w:bidi="ar-SA"/>
    </w:rPr>
  </w:style>
  <w:style w:type="paragraph" w:customStyle="1" w:styleId="30">
    <w:name w:val="标准文件_附录标识"/>
    <w:next w:val="21"/>
    <w:qFormat/>
    <w:uiPriority w:val="0"/>
    <w:pPr>
      <w:numPr>
        <w:ilvl w:val="0"/>
        <w:numId w:val="5"/>
      </w:numPr>
      <w:shd w:val="clear" w:color="FFFFFF" w:fill="FFFFFF"/>
      <w:tabs>
        <w:tab w:val="left" w:pos="6406"/>
      </w:tabs>
      <w:spacing w:before="560" w:afterLines="50"/>
      <w:jc w:val="center"/>
      <w:outlineLvl w:val="0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31">
    <w:name w:val="标准文件_附录表标题"/>
    <w:next w:val="21"/>
    <w:qFormat/>
    <w:uiPriority w:val="0"/>
    <w:pPr>
      <w:numPr>
        <w:ilvl w:val="1"/>
        <w:numId w:val="6"/>
      </w:numPr>
      <w:adjustRightInd w:val="0"/>
      <w:snapToGrid w:val="0"/>
      <w:spacing w:beforeLines="50" w:afterLines="50"/>
      <w:jc w:val="center"/>
      <w:textAlignment w:val="baseline"/>
    </w:pPr>
    <w:rPr>
      <w:rFonts w:ascii="黑体" w:hAnsi="Times New Roman" w:eastAsia="黑体" w:cs="Times New Roman"/>
      <w:kern w:val="21"/>
      <w:sz w:val="21"/>
      <w:szCs w:val="20"/>
      <w:lang w:val="en-US" w:eastAsia="zh-CN" w:bidi="ar-SA"/>
    </w:rPr>
  </w:style>
  <w:style w:type="paragraph" w:customStyle="1" w:styleId="32">
    <w:name w:val="标准文件_表格"/>
    <w:basedOn w:val="21"/>
    <w:qFormat/>
    <w:uiPriority w:val="0"/>
    <w:pPr>
      <w:ind w:firstLine="0" w:firstLineChars="0"/>
      <w:jc w:val="center"/>
    </w:pPr>
    <w:rPr>
      <w:sz w:val="18"/>
    </w:rPr>
  </w:style>
  <w:style w:type="paragraph" w:customStyle="1" w:styleId="33">
    <w:name w:val="标准文件_参考文献标题"/>
    <w:basedOn w:val="1"/>
    <w:next w:val="1"/>
    <w:qFormat/>
    <w:uiPriority w:val="0"/>
    <w:pPr>
      <w:widowControl/>
      <w:shd w:val="clear" w:color="FFFFFF" w:fill="FFFFFF"/>
      <w:adjustRightInd/>
      <w:spacing w:before="560" w:afterLines="50" w:line="240" w:lineRule="auto"/>
      <w:jc w:val="center"/>
      <w:outlineLvl w:val="0"/>
    </w:pPr>
    <w:rPr>
      <w:rFonts w:ascii="黑体" w:eastAsia="黑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3624</Words>
  <Characters>3664</Characters>
  <Lines>309</Lines>
  <Paragraphs>87</Paragraphs>
  <TotalTime>0</TotalTime>
  <ScaleCrop>false</ScaleCrop>
  <LinksUpToDate>false</LinksUpToDate>
  <CharactersWithSpaces>3668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2021-06-07T18:43:00Z</dcterms:created>
  <dc:creator>侯杰</dc:creator>
  <cp:lastModifiedBy>侯杰</cp:lastModifiedBy>
  <dcterms:modified xsi:type="dcterms:W3CDTF">2023-02-16T02:45:10Z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8A659057148049DF838317B18AF5B220</vt:lpwstr>
  </property>
</Properties>
</file>