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C" w:rsidRDefault="0020163C" w:rsidP="0020163C">
      <w:pPr>
        <w:pStyle w:val="afffffe"/>
        <w:framePr w:wrap="around"/>
      </w:pPr>
      <w:r w:rsidRPr="0020163C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423BD7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423BD7">
        <w:fldChar w:fldCharType="separate"/>
      </w:r>
      <w:r w:rsidR="004C5910">
        <w:rPr>
          <w:rFonts w:hint="eastAsia"/>
        </w:rPr>
        <w:t>03.100.10</w:t>
      </w:r>
      <w:r w:rsidR="00423BD7">
        <w:fldChar w:fldCharType="end"/>
      </w:r>
      <w:bookmarkEnd w:id="0"/>
    </w:p>
    <w:bookmarkStart w:id="1" w:name="WXFLH"/>
    <w:p w:rsidR="0020163C" w:rsidRDefault="00423BD7" w:rsidP="0020163C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20163C">
        <w:instrText xml:space="preserve"> FORMTEXT </w:instrText>
      </w:r>
      <w:r>
        <w:fldChar w:fldCharType="separate"/>
      </w:r>
      <w:r w:rsidR="004C5910">
        <w:rPr>
          <w:rFonts w:hint="eastAsia"/>
        </w:rPr>
        <w:t>A 87</w:t>
      </w:r>
      <w:r>
        <w:fldChar w:fldCharType="end"/>
      </w:r>
      <w:bookmarkEnd w:id="1"/>
    </w:p>
    <w:p w:rsidR="0020163C" w:rsidRDefault="0020163C" w:rsidP="0020163C">
      <w:pPr>
        <w:pStyle w:val="affe"/>
        <w:framePr w:wrap="around"/>
      </w:pPr>
      <w:r>
        <w:rPr>
          <w:noProof/>
        </w:rPr>
        <w:drawing>
          <wp:inline distT="0" distB="0" distL="0" distR="0">
            <wp:extent cx="1439999" cy="719999"/>
            <wp:effectExtent l="19050" t="0" r="7801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7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3C" w:rsidRDefault="0020163C" w:rsidP="0020163C">
      <w:pPr>
        <w:pStyle w:val="afff"/>
        <w:framePr w:wrap="around"/>
      </w:pPr>
      <w:r>
        <w:rPr>
          <w:rFonts w:hint="eastAsia"/>
        </w:rPr>
        <w:t>中华人民共和国国家标准</w:t>
      </w:r>
    </w:p>
    <w:p w:rsidR="0020163C" w:rsidRDefault="0020163C" w:rsidP="00030FB7">
      <w:pPr>
        <w:pStyle w:val="2"/>
        <w:framePr w:wrap="around" w:y="2924"/>
        <w:rPr>
          <w:rFonts w:hAnsi="黑体"/>
        </w:rPr>
      </w:pPr>
      <w:r w:rsidRPr="0020163C">
        <w:rPr>
          <w:rFonts w:ascii="Times New Roman"/>
        </w:rPr>
        <w:t>GB</w:t>
      </w:r>
      <w:bookmarkStart w:id="2" w:name="StdNo1"/>
      <w:r w:rsidR="00423BD7">
        <w:fldChar w:fldCharType="begin">
          <w:ffData>
            <w:name w:val="StdNo1"/>
            <w:enabled/>
            <w:calcOnExit w:val="0"/>
            <w:textInput>
              <w:default w:val="/T ×××××"/>
            </w:textInput>
          </w:ffData>
        </w:fldChar>
      </w:r>
      <w:r>
        <w:instrText xml:space="preserve"> FORMTEXT </w:instrText>
      </w:r>
      <w:r w:rsidR="00423BD7">
        <w:fldChar w:fldCharType="separate"/>
      </w:r>
      <w:r w:rsidRPr="0020163C">
        <w:rPr>
          <w:rFonts w:ascii="Times New Roman"/>
          <w:noProof/>
        </w:rPr>
        <w:t>/T</w:t>
      </w:r>
      <w:r>
        <w:rPr>
          <w:noProof/>
        </w:rPr>
        <w:t>×××××</w:t>
      </w:r>
      <w:r w:rsidR="00423BD7">
        <w:fldChar w:fldCharType="end"/>
      </w:r>
      <w:bookmarkEnd w:id="2"/>
      <w:r>
        <w:rPr>
          <w:rFonts w:hAnsi="黑体"/>
        </w:rPr>
        <w:t>—</w:t>
      </w:r>
      <w:bookmarkStart w:id="3" w:name="StdNo2"/>
      <w:r w:rsidR="00423BD7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r>
        <w:rPr>
          <w:rFonts w:hAnsi="黑体"/>
        </w:rPr>
        <w:instrText xml:space="preserve"> FORMTEXT </w:instrText>
      </w:r>
      <w:r w:rsidR="00423BD7">
        <w:rPr>
          <w:rFonts w:hAnsi="黑体"/>
        </w:rPr>
      </w:r>
      <w:r w:rsidR="00423BD7">
        <w:rPr>
          <w:rFonts w:hAnsi="黑体"/>
        </w:rPr>
        <w:fldChar w:fldCharType="separate"/>
      </w:r>
      <w:r>
        <w:rPr>
          <w:rFonts w:hAnsi="黑体"/>
          <w:noProof/>
        </w:rPr>
        <w:t>××××</w:t>
      </w:r>
      <w:r w:rsidR="00423BD7">
        <w:rPr>
          <w:rFonts w:hAnsi="黑体"/>
        </w:rPr>
        <w:fldChar w:fldCharType="end"/>
      </w:r>
      <w:bookmarkEnd w:id="3"/>
    </w:p>
    <w:tbl>
      <w:tblPr>
        <w:tblStyle w:val="afffffa"/>
        <w:tblW w:w="0" w:type="auto"/>
        <w:tblLook w:val="04A0"/>
      </w:tblPr>
      <w:tblGrid>
        <w:gridCol w:w="9356"/>
      </w:tblGrid>
      <w:tr w:rsidR="0020163C" w:rsidTr="0020163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63C" w:rsidRDefault="00423BD7" w:rsidP="00030FB7">
            <w:pPr>
              <w:pStyle w:val="afff9"/>
              <w:framePr w:wrap="around" w:y="2924"/>
            </w:pPr>
            <w:bookmarkStart w:id="4" w:name="DT"/>
            <w:r>
              <w:rPr>
                <w:noProof/>
              </w:rPr>
              <w:pict>
                <v:rect id="DT" o:spid="_x0000_s1030" style="position:absolute;left:0;text-align:left;margin-left:372.8pt;margin-top:2.7pt;width:90pt;height:18pt;z-index:-251654144" stroked="f"/>
              </w:pict>
            </w:r>
            <w:bookmarkEnd w:id="4"/>
            <w:r w:rsidRPr="00C70A21">
              <w:fldChar w:fldCharType="begin">
                <w:ffData>
                  <w:name w:val=""/>
                  <w:enabled/>
                  <w:calcOnExit w:val="0"/>
                  <w:textInput>
                    <w:default w:val="代替GB/T 21072-2007"/>
                  </w:textInput>
                </w:ffData>
              </w:fldChar>
            </w:r>
            <w:r w:rsidR="00C70A21" w:rsidRPr="00C70A21">
              <w:instrText xml:space="preserve"> FORMTEXT </w:instrText>
            </w:r>
            <w:r w:rsidRPr="00C70A21">
              <w:fldChar w:fldCharType="separate"/>
            </w:r>
            <w:r w:rsidR="00C70A21" w:rsidRPr="00C70A21">
              <w:rPr>
                <w:rFonts w:hint="eastAsia"/>
                <w:noProof/>
              </w:rPr>
              <w:t>代替GB/T 21072-2007</w:t>
            </w:r>
            <w:r w:rsidRPr="00C70A21">
              <w:fldChar w:fldCharType="end"/>
            </w:r>
          </w:p>
        </w:tc>
      </w:tr>
    </w:tbl>
    <w:p w:rsidR="0020163C" w:rsidRDefault="0020163C" w:rsidP="00030FB7">
      <w:pPr>
        <w:pStyle w:val="2"/>
        <w:framePr w:wrap="around" w:y="2924"/>
        <w:rPr>
          <w:rFonts w:hAnsi="黑体"/>
        </w:rPr>
      </w:pPr>
    </w:p>
    <w:p w:rsidR="0020163C" w:rsidRDefault="0020163C" w:rsidP="00030FB7">
      <w:pPr>
        <w:pStyle w:val="2"/>
        <w:framePr w:wrap="around" w:y="2924"/>
        <w:rPr>
          <w:rFonts w:hAnsi="黑体"/>
        </w:rPr>
      </w:pPr>
    </w:p>
    <w:bookmarkStart w:id="5" w:name="StdName"/>
    <w:p w:rsidR="0020163C" w:rsidRDefault="00423BD7" w:rsidP="0020163C">
      <w:pPr>
        <w:pStyle w:val="afffa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20163C">
        <w:instrText xml:space="preserve"> FORMTEXT </w:instrText>
      </w:r>
      <w:r>
        <w:fldChar w:fldCharType="separate"/>
      </w:r>
      <w:r w:rsidR="00030FB7">
        <w:rPr>
          <w:rFonts w:hint="eastAsia"/>
        </w:rPr>
        <w:t>通用仓库等级</w:t>
      </w:r>
      <w:r>
        <w:fldChar w:fldCharType="end"/>
      </w:r>
      <w:bookmarkEnd w:id="5"/>
    </w:p>
    <w:bookmarkStart w:id="6" w:name="StdEnglishName"/>
    <w:p w:rsidR="0020163C" w:rsidRDefault="00423BD7" w:rsidP="0020163C">
      <w:pPr>
        <w:pStyle w:val="afffb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20163C">
        <w:instrText xml:space="preserve"> FORMTEXT </w:instrText>
      </w:r>
      <w:r>
        <w:fldChar w:fldCharType="separate"/>
      </w:r>
      <w:r w:rsidR="004C5910" w:rsidRPr="004C5910">
        <w:t>Grades for general warehouse</w:t>
      </w:r>
      <w:r>
        <w:fldChar w:fldCharType="end"/>
      </w:r>
      <w:bookmarkEnd w:id="6"/>
    </w:p>
    <w:bookmarkStart w:id="7" w:name="YZBS"/>
    <w:p w:rsidR="0020163C" w:rsidRPr="0020163C" w:rsidRDefault="00423BD7" w:rsidP="0020163C">
      <w:pPr>
        <w:pStyle w:val="afffc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20163C">
        <w:instrText xml:space="preserve"> FORMTEXT </w:instrText>
      </w:r>
      <w:r>
        <w:fldChar w:fldCharType="separate"/>
      </w:r>
      <w:r w:rsidR="0020163C"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7"/>
    </w:p>
    <w:tbl>
      <w:tblPr>
        <w:tblStyle w:val="afffffa"/>
        <w:tblW w:w="0" w:type="auto"/>
        <w:tblLook w:val="04A0"/>
      </w:tblPr>
      <w:tblGrid>
        <w:gridCol w:w="9855"/>
      </w:tblGrid>
      <w:tr w:rsidR="0020163C" w:rsidTr="0020163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63C" w:rsidRDefault="00423BD7" w:rsidP="0020163C">
            <w:pPr>
              <w:pStyle w:val="afffd"/>
              <w:framePr w:wrap="around"/>
            </w:pPr>
            <w:r>
              <w:rPr>
                <w:noProof/>
              </w:rPr>
              <w:pict>
                <v:rect id="RQ" o:spid="_x0000_s1032" style="position:absolute;left:0;text-align:left;margin-left:173.3pt;margin-top:45.15pt;width:150pt;height:20pt;z-index:-25165209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1" style="position:absolute;left:0;text-align:left;margin-left:193.3pt;margin-top:20.15pt;width:100pt;height:24pt;z-index:-251653120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 w:rsidR="0020163C">
              <w:instrText xml:space="preserve"> FORMDROPDOWN </w:instrText>
            </w:r>
            <w:r>
              <w:fldChar w:fldCharType="end"/>
            </w:r>
            <w:bookmarkEnd w:id="8"/>
          </w:p>
        </w:tc>
      </w:tr>
      <w:bookmarkStart w:id="9" w:name="WCRQ"/>
      <w:tr w:rsidR="0020163C" w:rsidTr="0020163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63C" w:rsidRDefault="00423BD7" w:rsidP="0020163C">
            <w:pPr>
              <w:pStyle w:val="afffe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20163C">
              <w:instrText xml:space="preserve"> FORMTEXT </w:instrText>
            </w:r>
            <w:r>
              <w:fldChar w:fldCharType="separate"/>
            </w:r>
            <w:r w:rsidR="004C5910">
              <w:rPr>
                <w:rFonts w:hint="eastAsia"/>
              </w:rPr>
              <w:t>（本稿完成日期：2020.7）</w:t>
            </w:r>
            <w:r>
              <w:fldChar w:fldCharType="end"/>
            </w:r>
            <w:bookmarkEnd w:id="9"/>
          </w:p>
        </w:tc>
      </w:tr>
    </w:tbl>
    <w:p w:rsidR="0020163C" w:rsidRDefault="00423BD7" w:rsidP="0020163C">
      <w:pPr>
        <w:pStyle w:val="affffff5"/>
        <w:framePr w:wrap="around"/>
      </w:pPr>
      <w:bookmarkStart w:id="10" w:name="FY"/>
      <w:r>
        <w:pict>
          <v:line id="_x0000_s1034" style="position:absolute;z-index:251666432;mso-position-horizontal-relative:text;mso-position-vertical-relative:text" from="70.25pt,732.9pt" to="552.15pt,732.9pt"/>
        </w:pict>
      </w:r>
      <w:r w:rsidRPr="00423BD7">
        <w:rPr>
          <w:rFonts w:ascii="黑体"/>
          <w:noProof/>
        </w:rPr>
        <w:pict>
          <v:line id="_x0000_s1028" style="position:absolute;z-index:251660288;mso-position-horizontal-relative:text;mso-position-vertical-relative:text" from="70.85pt,728.5pt" to="552.75pt,728.5pt"/>
        </w:pict>
      </w:r>
      <w:r w:rsidRPr="0020163C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 w:rsidR="0020163C" w:rsidRPr="0020163C">
        <w:rPr>
          <w:rFonts w:ascii="黑体"/>
        </w:rPr>
        <w:instrText xml:space="preserve"> FORMTEXT </w:instrText>
      </w:r>
      <w:r w:rsidRPr="0020163C">
        <w:rPr>
          <w:rFonts w:ascii="黑体"/>
        </w:rPr>
      </w:r>
      <w:r w:rsidRPr="0020163C">
        <w:rPr>
          <w:rFonts w:ascii="黑体"/>
        </w:rPr>
        <w:fldChar w:fldCharType="separate"/>
      </w:r>
      <w:r w:rsidR="0020163C" w:rsidRPr="0020163C">
        <w:rPr>
          <w:rFonts w:ascii="黑体"/>
          <w:noProof/>
        </w:rPr>
        <w:t>××××</w:t>
      </w:r>
      <w:r w:rsidRPr="0020163C">
        <w:rPr>
          <w:rFonts w:ascii="黑体"/>
        </w:rPr>
        <w:fldChar w:fldCharType="end"/>
      </w:r>
      <w:bookmarkEnd w:id="10"/>
      <w:r w:rsidR="0020163C" w:rsidRPr="0020163C">
        <w:rPr>
          <w:rFonts w:ascii="黑体"/>
        </w:rPr>
        <w:t>-</w:t>
      </w:r>
      <w:bookmarkStart w:id="11" w:name="FM"/>
      <w:r w:rsidRPr="0020163C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20163C" w:rsidRPr="0020163C">
        <w:rPr>
          <w:rFonts w:ascii="黑体"/>
        </w:rPr>
        <w:instrText xml:space="preserve"> FORMTEXT </w:instrText>
      </w:r>
      <w:r w:rsidRPr="0020163C">
        <w:rPr>
          <w:rFonts w:ascii="黑体"/>
        </w:rPr>
      </w:r>
      <w:r w:rsidRPr="0020163C">
        <w:rPr>
          <w:rFonts w:ascii="黑体"/>
        </w:rPr>
        <w:fldChar w:fldCharType="separate"/>
      </w:r>
      <w:r w:rsidR="0020163C" w:rsidRPr="0020163C">
        <w:rPr>
          <w:rFonts w:ascii="黑体"/>
          <w:noProof/>
        </w:rPr>
        <w:t>××</w:t>
      </w:r>
      <w:r w:rsidRPr="0020163C">
        <w:rPr>
          <w:rFonts w:ascii="黑体"/>
        </w:rPr>
        <w:fldChar w:fldCharType="end"/>
      </w:r>
      <w:bookmarkEnd w:id="11"/>
      <w:r w:rsidR="0020163C" w:rsidRPr="0020163C">
        <w:rPr>
          <w:rFonts w:ascii="黑体"/>
        </w:rPr>
        <w:t>-</w:t>
      </w:r>
      <w:bookmarkStart w:id="12" w:name="FD"/>
      <w:r w:rsidRPr="0020163C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20163C" w:rsidRPr="0020163C">
        <w:rPr>
          <w:rFonts w:ascii="黑体"/>
        </w:rPr>
        <w:instrText xml:space="preserve"> FORMTEXT </w:instrText>
      </w:r>
      <w:r w:rsidRPr="0020163C">
        <w:rPr>
          <w:rFonts w:ascii="黑体"/>
        </w:rPr>
      </w:r>
      <w:r w:rsidRPr="0020163C">
        <w:rPr>
          <w:rFonts w:ascii="黑体"/>
        </w:rPr>
        <w:fldChar w:fldCharType="separate"/>
      </w:r>
      <w:r w:rsidR="00030FB7">
        <w:rPr>
          <w:rFonts w:ascii="黑体"/>
        </w:rPr>
        <w:t>××</w:t>
      </w:r>
      <w:r w:rsidRPr="0020163C">
        <w:rPr>
          <w:rFonts w:ascii="黑体"/>
        </w:rPr>
        <w:fldChar w:fldCharType="end"/>
      </w:r>
      <w:bookmarkEnd w:id="12"/>
      <w:r w:rsidR="0020163C">
        <w:rPr>
          <w:rFonts w:hint="eastAsia"/>
        </w:rPr>
        <w:t>发布</w:t>
      </w:r>
      <w:r>
        <w:pict>
          <v:line id="_x0000_s1027" style="position:absolute;z-index:251659264;mso-position-horizontal-relative:text;mso-position-vertical-relative:text" from="70.85pt,212.6pt" to="552.75pt,212.6pt"/>
        </w:pict>
      </w:r>
      <w:r>
        <w:pict>
          <v:line id="_x0000_s1026" style="position:absolute;z-index:251658240;mso-position-horizontal-relative:text;mso-position-vertical-relative:text" from="70.85pt,728.5pt" to="552.75pt,728.5pt"/>
        </w:pict>
      </w:r>
    </w:p>
    <w:bookmarkStart w:id="13" w:name="SY"/>
    <w:p w:rsidR="0020163C" w:rsidRDefault="00423BD7" w:rsidP="0020163C">
      <w:pPr>
        <w:pStyle w:val="affffff6"/>
        <w:framePr w:wrap="around"/>
      </w:pPr>
      <w:r w:rsidRPr="0020163C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="0020163C" w:rsidRPr="0020163C">
        <w:rPr>
          <w:rFonts w:ascii="黑体"/>
        </w:rPr>
        <w:instrText xml:space="preserve"> FORMTEXT </w:instrText>
      </w:r>
      <w:r w:rsidRPr="0020163C">
        <w:rPr>
          <w:rFonts w:ascii="黑体"/>
        </w:rPr>
      </w:r>
      <w:r w:rsidRPr="0020163C">
        <w:rPr>
          <w:rFonts w:ascii="黑体"/>
        </w:rPr>
        <w:fldChar w:fldCharType="separate"/>
      </w:r>
      <w:r w:rsidR="0020163C" w:rsidRPr="0020163C">
        <w:rPr>
          <w:rFonts w:ascii="黑体"/>
          <w:noProof/>
        </w:rPr>
        <w:t>××××</w:t>
      </w:r>
      <w:r w:rsidRPr="0020163C">
        <w:rPr>
          <w:rFonts w:ascii="黑体"/>
        </w:rPr>
        <w:fldChar w:fldCharType="end"/>
      </w:r>
      <w:bookmarkEnd w:id="13"/>
      <w:r w:rsidR="0020163C" w:rsidRPr="0020163C">
        <w:rPr>
          <w:rFonts w:ascii="黑体"/>
        </w:rPr>
        <w:t>-</w:t>
      </w:r>
      <w:bookmarkStart w:id="14" w:name="SM"/>
      <w:r w:rsidRPr="0020163C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20163C" w:rsidRPr="0020163C">
        <w:rPr>
          <w:rFonts w:ascii="黑体"/>
        </w:rPr>
        <w:instrText xml:space="preserve"> FORMTEXT </w:instrText>
      </w:r>
      <w:r w:rsidRPr="0020163C">
        <w:rPr>
          <w:rFonts w:ascii="黑体"/>
        </w:rPr>
      </w:r>
      <w:r w:rsidRPr="0020163C">
        <w:rPr>
          <w:rFonts w:ascii="黑体"/>
        </w:rPr>
        <w:fldChar w:fldCharType="separate"/>
      </w:r>
      <w:r w:rsidR="0020163C" w:rsidRPr="0020163C">
        <w:rPr>
          <w:rFonts w:ascii="黑体"/>
          <w:noProof/>
        </w:rPr>
        <w:t>××</w:t>
      </w:r>
      <w:r w:rsidRPr="0020163C">
        <w:rPr>
          <w:rFonts w:ascii="黑体"/>
        </w:rPr>
        <w:fldChar w:fldCharType="end"/>
      </w:r>
      <w:bookmarkEnd w:id="14"/>
      <w:r w:rsidR="0020163C" w:rsidRPr="0020163C">
        <w:rPr>
          <w:rFonts w:ascii="黑体"/>
        </w:rPr>
        <w:t>-</w:t>
      </w:r>
      <w:bookmarkStart w:id="15" w:name="SD"/>
      <w:r w:rsidRPr="0020163C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20163C" w:rsidRPr="0020163C">
        <w:rPr>
          <w:rFonts w:ascii="黑体"/>
        </w:rPr>
        <w:instrText xml:space="preserve"> FORMTEXT </w:instrText>
      </w:r>
      <w:r w:rsidRPr="0020163C">
        <w:rPr>
          <w:rFonts w:ascii="黑体"/>
        </w:rPr>
      </w:r>
      <w:r w:rsidRPr="0020163C">
        <w:rPr>
          <w:rFonts w:ascii="黑体"/>
        </w:rPr>
        <w:fldChar w:fldCharType="separate"/>
      </w:r>
      <w:r w:rsidR="00030FB7">
        <w:rPr>
          <w:rFonts w:ascii="黑体"/>
        </w:rPr>
        <w:t> </w:t>
      </w:r>
      <w:r w:rsidR="00030FB7">
        <w:rPr>
          <w:rFonts w:ascii="黑体"/>
        </w:rPr>
        <w:t> </w:t>
      </w:r>
      <w:r w:rsidRPr="0020163C">
        <w:rPr>
          <w:rFonts w:ascii="黑体"/>
        </w:rPr>
        <w:fldChar w:fldCharType="end"/>
      </w:r>
      <w:bookmarkEnd w:id="15"/>
      <w:r w:rsidR="0020163C">
        <w:rPr>
          <w:rFonts w:hint="eastAsia"/>
        </w:rPr>
        <w:t>实施</w:t>
      </w:r>
    </w:p>
    <w:p w:rsidR="0020163C" w:rsidRDefault="0020163C" w:rsidP="0020163C">
      <w:pPr>
        <w:pStyle w:val="afff7"/>
        <w:framePr w:wrap="around"/>
      </w:pPr>
      <w:r>
        <w:rPr>
          <w:noProof/>
        </w:rPr>
        <w:drawing>
          <wp:inline distT="0" distB="0" distL="0" distR="0">
            <wp:extent cx="4451985" cy="720090"/>
            <wp:effectExtent l="19050" t="0" r="571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3C" w:rsidRDefault="00423BD7" w:rsidP="0020163C">
      <w:pPr>
        <w:pStyle w:val="aff6"/>
      </w:pPr>
      <w:r>
        <w:pict>
          <v:line id="_x0000_s1035" style="position:absolute;left:0;text-align:left;z-index:251667456" from="-1.6pt,704.25pt" to="480.3pt,704.25pt"/>
        </w:pict>
      </w:r>
      <w:r>
        <w:pict>
          <v:line id="_x0000_s1033" style="position:absolute;left:0;text-align:left;z-index:251665408" from="-.65pt,1347.4pt" to="481.25pt,1347.4pt"/>
        </w:pict>
      </w:r>
      <w:r>
        <w:pict>
          <v:line id="_x0000_s1029" style="position:absolute;left:0;text-align:left;z-index:251661312" from="-.05pt,184.25pt" to="481.85pt,184.25pt"/>
        </w:pict>
      </w:r>
    </w:p>
    <w:p w:rsidR="00C70A21" w:rsidRPr="00C70A21" w:rsidRDefault="00C70A21" w:rsidP="00C70A21"/>
    <w:p w:rsidR="00C70A21" w:rsidRPr="00C70A21" w:rsidRDefault="00C70A21" w:rsidP="00C70A21"/>
    <w:p w:rsidR="00C70A21" w:rsidRPr="00C70A21" w:rsidRDefault="00C70A21" w:rsidP="00C70A21"/>
    <w:p w:rsidR="00C70A21" w:rsidRPr="00C70A21" w:rsidRDefault="00C70A21" w:rsidP="00C70A21"/>
    <w:p w:rsidR="00C70A21" w:rsidRPr="00C70A21" w:rsidRDefault="00C70A21" w:rsidP="00C70A21"/>
    <w:p w:rsidR="00C70A21" w:rsidRPr="00C70A21" w:rsidRDefault="00C70A21" w:rsidP="00C70A21">
      <w:pPr>
        <w:tabs>
          <w:tab w:val="left" w:pos="6863"/>
        </w:tabs>
      </w:pPr>
      <w:r>
        <w:tab/>
      </w:r>
    </w:p>
    <w:p w:rsidR="00C70A21" w:rsidRPr="00C70A21" w:rsidRDefault="00C70A21" w:rsidP="00C70A21"/>
    <w:p w:rsidR="00C70A21" w:rsidRPr="00C70A21" w:rsidRDefault="00C70A21" w:rsidP="00C70A21"/>
    <w:p w:rsidR="00C70A21" w:rsidRPr="00C70A21" w:rsidRDefault="00C70A21" w:rsidP="00C70A21"/>
    <w:p w:rsidR="00C70A21" w:rsidRPr="00C70A21" w:rsidRDefault="00C70A21" w:rsidP="00C70A21"/>
    <w:p w:rsidR="00C70A21" w:rsidRPr="00C70A21" w:rsidRDefault="00C70A21" w:rsidP="00C70A21"/>
    <w:p w:rsidR="00C70A21" w:rsidRPr="00C70A21" w:rsidRDefault="00C70A21" w:rsidP="00C70A21">
      <w:pPr>
        <w:sectPr w:rsidR="00C70A21" w:rsidRPr="00C70A21" w:rsidSect="0020163C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</w:p>
    <w:p w:rsidR="004C5910" w:rsidRPr="004C5910" w:rsidRDefault="004C5910" w:rsidP="004C5910">
      <w:pPr>
        <w:pStyle w:val="aff9"/>
      </w:pPr>
      <w:r w:rsidRPr="004C5910">
        <w:rPr>
          <w:rFonts w:hint="eastAsia"/>
        </w:rPr>
        <w:lastRenderedPageBreak/>
        <w:t>目</w:t>
      </w:r>
      <w:bookmarkStart w:id="16" w:name="BKML"/>
      <w:r w:rsidRPr="004C5910">
        <w:rPr>
          <w:rFonts w:ascii="MS Mincho" w:eastAsia="MS Mincho" w:hAnsi="MS Mincho" w:cs="MS Mincho" w:hint="eastAsia"/>
        </w:rPr>
        <w:t> </w:t>
      </w:r>
      <w:r w:rsidRPr="004C5910">
        <w:rPr>
          <w:rFonts w:ascii="MS Mincho" w:eastAsia="MS Mincho" w:hAnsi="MS Mincho" w:cs="MS Mincho" w:hint="eastAsia"/>
        </w:rPr>
        <w:t> </w:t>
      </w:r>
      <w:r w:rsidRPr="004C5910">
        <w:rPr>
          <w:rFonts w:hint="eastAsia"/>
        </w:rPr>
        <w:t>次</w:t>
      </w:r>
      <w:bookmarkEnd w:id="16"/>
    </w:p>
    <w:p w:rsidR="004C5910" w:rsidRPr="004C5910" w:rsidRDefault="00423BD7" w:rsidP="004C5910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 w:rsidRPr="00423BD7">
        <w:fldChar w:fldCharType="begin" w:fldLock="1"/>
      </w:r>
      <w:r w:rsidR="004C5910" w:rsidRPr="004C5910">
        <w:rPr>
          <w:rFonts w:hint="eastAsia"/>
        </w:rPr>
        <w:instrText>TOC \h \z \t"前言、引言标题,1,参考文献、索引标题,1,章标题,1,参考文献,1,附录标识,1" \* MERGEFORMAT</w:instrText>
      </w:r>
      <w:r w:rsidRPr="00423BD7">
        <w:fldChar w:fldCharType="separate"/>
      </w:r>
      <w:hyperlink w:anchor="_Toc47516949" w:history="1">
        <w:r w:rsidR="004C5910" w:rsidRPr="004C5910">
          <w:rPr>
            <w:rStyle w:val="afff5"/>
            <w:rFonts w:hint="eastAsia"/>
          </w:rPr>
          <w:t>前言</w:t>
        </w:r>
        <w:r w:rsidR="004C5910" w:rsidRPr="004C5910">
          <w:rPr>
            <w:noProof/>
            <w:webHidden/>
          </w:rPr>
          <w:tab/>
        </w:r>
        <w:r w:rsidRPr="004C5910">
          <w:rPr>
            <w:noProof/>
            <w:webHidden/>
          </w:rPr>
          <w:fldChar w:fldCharType="begin" w:fldLock="1"/>
        </w:r>
        <w:r w:rsidR="004C5910" w:rsidRPr="004C5910">
          <w:rPr>
            <w:noProof/>
            <w:webHidden/>
          </w:rPr>
          <w:instrText xml:space="preserve"> PAGEREF _Toc47516949 \h </w:instrText>
        </w:r>
        <w:r w:rsidRPr="004C5910">
          <w:rPr>
            <w:noProof/>
            <w:webHidden/>
          </w:rPr>
        </w:r>
        <w:r w:rsidRPr="004C5910">
          <w:rPr>
            <w:noProof/>
            <w:webHidden/>
          </w:rPr>
          <w:fldChar w:fldCharType="separate"/>
        </w:r>
        <w:r w:rsidR="004C5910">
          <w:rPr>
            <w:noProof/>
            <w:webHidden/>
          </w:rPr>
          <w:t>II</w:t>
        </w:r>
        <w:r w:rsidRPr="004C5910">
          <w:rPr>
            <w:noProof/>
            <w:webHidden/>
          </w:rPr>
          <w:fldChar w:fldCharType="end"/>
        </w:r>
      </w:hyperlink>
    </w:p>
    <w:p w:rsidR="004C5910" w:rsidRPr="004C5910" w:rsidRDefault="00423BD7" w:rsidP="004C5910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7516950" w:history="1">
        <w:r w:rsidR="004C5910" w:rsidRPr="004C5910">
          <w:rPr>
            <w:rStyle w:val="afff5"/>
          </w:rPr>
          <w:t>1</w:t>
        </w:r>
        <w:r w:rsidR="004C5910">
          <w:rPr>
            <w:rStyle w:val="afff5"/>
            <w:rFonts w:hint="eastAsia"/>
          </w:rPr>
          <w:t xml:space="preserve">　</w:t>
        </w:r>
        <w:r w:rsidR="004C5910" w:rsidRPr="004C5910">
          <w:rPr>
            <w:rStyle w:val="afff5"/>
            <w:rFonts w:hint="eastAsia"/>
          </w:rPr>
          <w:t>范围</w:t>
        </w:r>
        <w:r w:rsidR="004C5910" w:rsidRPr="004C5910">
          <w:rPr>
            <w:noProof/>
            <w:webHidden/>
          </w:rPr>
          <w:tab/>
        </w:r>
        <w:r w:rsidRPr="004C5910">
          <w:rPr>
            <w:noProof/>
            <w:webHidden/>
          </w:rPr>
          <w:fldChar w:fldCharType="begin" w:fldLock="1"/>
        </w:r>
        <w:r w:rsidR="004C5910" w:rsidRPr="004C5910">
          <w:rPr>
            <w:noProof/>
            <w:webHidden/>
          </w:rPr>
          <w:instrText xml:space="preserve"> PAGEREF _Toc47516950 \h </w:instrText>
        </w:r>
        <w:r w:rsidRPr="004C5910">
          <w:rPr>
            <w:noProof/>
            <w:webHidden/>
          </w:rPr>
        </w:r>
        <w:r w:rsidRPr="004C5910">
          <w:rPr>
            <w:noProof/>
            <w:webHidden/>
          </w:rPr>
          <w:fldChar w:fldCharType="separate"/>
        </w:r>
        <w:r w:rsidR="004C5910">
          <w:rPr>
            <w:noProof/>
            <w:webHidden/>
          </w:rPr>
          <w:t>1</w:t>
        </w:r>
        <w:r w:rsidRPr="004C5910">
          <w:rPr>
            <w:noProof/>
            <w:webHidden/>
          </w:rPr>
          <w:fldChar w:fldCharType="end"/>
        </w:r>
      </w:hyperlink>
    </w:p>
    <w:p w:rsidR="004C5910" w:rsidRPr="004C5910" w:rsidRDefault="00423BD7" w:rsidP="004C5910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7516951" w:history="1">
        <w:r w:rsidR="004C5910" w:rsidRPr="004C5910">
          <w:rPr>
            <w:rStyle w:val="afff5"/>
          </w:rPr>
          <w:t>2</w:t>
        </w:r>
        <w:r w:rsidR="004C5910">
          <w:rPr>
            <w:rStyle w:val="afff5"/>
            <w:rFonts w:hint="eastAsia"/>
          </w:rPr>
          <w:t xml:space="preserve">　</w:t>
        </w:r>
        <w:r w:rsidR="004C5910" w:rsidRPr="004C5910">
          <w:rPr>
            <w:rStyle w:val="afff5"/>
            <w:rFonts w:hint="eastAsia"/>
          </w:rPr>
          <w:t>规范性引用文件</w:t>
        </w:r>
        <w:r w:rsidR="004C5910" w:rsidRPr="004C5910">
          <w:rPr>
            <w:noProof/>
            <w:webHidden/>
          </w:rPr>
          <w:tab/>
        </w:r>
        <w:r w:rsidRPr="004C5910">
          <w:rPr>
            <w:noProof/>
            <w:webHidden/>
          </w:rPr>
          <w:fldChar w:fldCharType="begin" w:fldLock="1"/>
        </w:r>
        <w:r w:rsidR="004C5910" w:rsidRPr="004C5910">
          <w:rPr>
            <w:noProof/>
            <w:webHidden/>
          </w:rPr>
          <w:instrText xml:space="preserve"> PAGEREF _Toc47516951 \h </w:instrText>
        </w:r>
        <w:r w:rsidRPr="004C5910">
          <w:rPr>
            <w:noProof/>
            <w:webHidden/>
          </w:rPr>
        </w:r>
        <w:r w:rsidRPr="004C5910">
          <w:rPr>
            <w:noProof/>
            <w:webHidden/>
          </w:rPr>
          <w:fldChar w:fldCharType="separate"/>
        </w:r>
        <w:r w:rsidR="004C5910">
          <w:rPr>
            <w:noProof/>
            <w:webHidden/>
          </w:rPr>
          <w:t>1</w:t>
        </w:r>
        <w:r w:rsidRPr="004C5910">
          <w:rPr>
            <w:noProof/>
            <w:webHidden/>
          </w:rPr>
          <w:fldChar w:fldCharType="end"/>
        </w:r>
      </w:hyperlink>
    </w:p>
    <w:p w:rsidR="004C5910" w:rsidRPr="004C5910" w:rsidRDefault="00423BD7" w:rsidP="004C5910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7516952" w:history="1">
        <w:r w:rsidR="004C5910" w:rsidRPr="004C5910">
          <w:rPr>
            <w:rStyle w:val="afff5"/>
          </w:rPr>
          <w:t>3</w:t>
        </w:r>
        <w:r w:rsidR="004C5910">
          <w:rPr>
            <w:rStyle w:val="afff5"/>
            <w:rFonts w:hint="eastAsia"/>
          </w:rPr>
          <w:t xml:space="preserve">　</w:t>
        </w:r>
        <w:r w:rsidR="004C5910" w:rsidRPr="004C5910">
          <w:rPr>
            <w:rStyle w:val="afff5"/>
            <w:rFonts w:hint="eastAsia"/>
          </w:rPr>
          <w:t>术语与定义</w:t>
        </w:r>
        <w:r w:rsidR="004C5910" w:rsidRPr="004C5910">
          <w:rPr>
            <w:noProof/>
            <w:webHidden/>
          </w:rPr>
          <w:tab/>
        </w:r>
        <w:r w:rsidRPr="004C5910">
          <w:rPr>
            <w:noProof/>
            <w:webHidden/>
          </w:rPr>
          <w:fldChar w:fldCharType="begin" w:fldLock="1"/>
        </w:r>
        <w:r w:rsidR="004C5910" w:rsidRPr="004C5910">
          <w:rPr>
            <w:noProof/>
            <w:webHidden/>
          </w:rPr>
          <w:instrText xml:space="preserve"> PAGEREF _Toc47516952 \h </w:instrText>
        </w:r>
        <w:r w:rsidRPr="004C5910">
          <w:rPr>
            <w:noProof/>
            <w:webHidden/>
          </w:rPr>
        </w:r>
        <w:r w:rsidRPr="004C5910">
          <w:rPr>
            <w:noProof/>
            <w:webHidden/>
          </w:rPr>
          <w:fldChar w:fldCharType="separate"/>
        </w:r>
        <w:r w:rsidR="004C5910">
          <w:rPr>
            <w:noProof/>
            <w:webHidden/>
          </w:rPr>
          <w:t>1</w:t>
        </w:r>
        <w:r w:rsidRPr="004C5910">
          <w:rPr>
            <w:noProof/>
            <w:webHidden/>
          </w:rPr>
          <w:fldChar w:fldCharType="end"/>
        </w:r>
      </w:hyperlink>
    </w:p>
    <w:p w:rsidR="004C5910" w:rsidRPr="004C5910" w:rsidRDefault="00423BD7" w:rsidP="004C5910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7516953" w:history="1">
        <w:r w:rsidR="004C5910" w:rsidRPr="004C5910">
          <w:rPr>
            <w:rStyle w:val="afff5"/>
          </w:rPr>
          <w:t>4</w:t>
        </w:r>
        <w:r w:rsidR="004C5910">
          <w:rPr>
            <w:rStyle w:val="afff5"/>
            <w:rFonts w:hint="eastAsia"/>
          </w:rPr>
          <w:t xml:space="preserve">　</w:t>
        </w:r>
        <w:r w:rsidR="004E6DF6">
          <w:rPr>
            <w:rStyle w:val="afff5"/>
            <w:rFonts w:hint="eastAsia"/>
          </w:rPr>
          <w:t>总则</w:t>
        </w:r>
        <w:r w:rsidR="004C5910" w:rsidRPr="004C5910">
          <w:rPr>
            <w:noProof/>
            <w:webHidden/>
          </w:rPr>
          <w:tab/>
        </w:r>
        <w:r w:rsidRPr="004C5910">
          <w:rPr>
            <w:noProof/>
            <w:webHidden/>
          </w:rPr>
          <w:fldChar w:fldCharType="begin" w:fldLock="1"/>
        </w:r>
        <w:r w:rsidR="004C5910" w:rsidRPr="004C5910">
          <w:rPr>
            <w:noProof/>
            <w:webHidden/>
          </w:rPr>
          <w:instrText xml:space="preserve"> PAGEREF _Toc47516953 \h </w:instrText>
        </w:r>
        <w:r w:rsidRPr="004C5910">
          <w:rPr>
            <w:noProof/>
            <w:webHidden/>
          </w:rPr>
        </w:r>
        <w:r w:rsidRPr="004C5910">
          <w:rPr>
            <w:noProof/>
            <w:webHidden/>
          </w:rPr>
          <w:fldChar w:fldCharType="separate"/>
        </w:r>
        <w:r w:rsidR="004C5910">
          <w:rPr>
            <w:noProof/>
            <w:webHidden/>
          </w:rPr>
          <w:t>1</w:t>
        </w:r>
        <w:r w:rsidRPr="004C5910">
          <w:rPr>
            <w:noProof/>
            <w:webHidden/>
          </w:rPr>
          <w:fldChar w:fldCharType="end"/>
        </w:r>
      </w:hyperlink>
    </w:p>
    <w:p w:rsidR="004C5910" w:rsidRPr="004C5910" w:rsidRDefault="00423BD7" w:rsidP="004C5910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7516954" w:history="1">
        <w:r w:rsidR="004C5910" w:rsidRPr="004C5910">
          <w:rPr>
            <w:rStyle w:val="afff5"/>
          </w:rPr>
          <w:t>5</w:t>
        </w:r>
        <w:r w:rsidR="004C5910">
          <w:rPr>
            <w:rStyle w:val="afff5"/>
            <w:rFonts w:hint="eastAsia"/>
          </w:rPr>
          <w:t xml:space="preserve">　</w:t>
        </w:r>
        <w:r w:rsidR="004C5910" w:rsidRPr="004C5910">
          <w:rPr>
            <w:rStyle w:val="afff5"/>
            <w:rFonts w:hint="eastAsia"/>
          </w:rPr>
          <w:t>总体要求</w:t>
        </w:r>
        <w:r w:rsidR="004C5910" w:rsidRPr="004C5910">
          <w:rPr>
            <w:noProof/>
            <w:webHidden/>
          </w:rPr>
          <w:tab/>
        </w:r>
        <w:r w:rsidRPr="004C5910">
          <w:rPr>
            <w:noProof/>
            <w:webHidden/>
          </w:rPr>
          <w:fldChar w:fldCharType="begin" w:fldLock="1"/>
        </w:r>
        <w:r w:rsidR="004C5910" w:rsidRPr="004C5910">
          <w:rPr>
            <w:noProof/>
            <w:webHidden/>
          </w:rPr>
          <w:instrText xml:space="preserve"> PAGEREF _Toc47516954 \h </w:instrText>
        </w:r>
        <w:r w:rsidRPr="004C5910">
          <w:rPr>
            <w:noProof/>
            <w:webHidden/>
          </w:rPr>
        </w:r>
        <w:r w:rsidRPr="004C5910">
          <w:rPr>
            <w:noProof/>
            <w:webHidden/>
          </w:rPr>
          <w:fldChar w:fldCharType="separate"/>
        </w:r>
        <w:r w:rsidR="004C5910">
          <w:rPr>
            <w:noProof/>
            <w:webHidden/>
          </w:rPr>
          <w:t>1</w:t>
        </w:r>
        <w:r w:rsidRPr="004C5910">
          <w:rPr>
            <w:noProof/>
            <w:webHidden/>
          </w:rPr>
          <w:fldChar w:fldCharType="end"/>
        </w:r>
      </w:hyperlink>
    </w:p>
    <w:p w:rsidR="004C5910" w:rsidRPr="004C5910" w:rsidRDefault="00423BD7" w:rsidP="004C5910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7516955" w:history="1">
        <w:r w:rsidR="004C5910" w:rsidRPr="004C5910">
          <w:rPr>
            <w:rStyle w:val="afff5"/>
          </w:rPr>
          <w:t>6</w:t>
        </w:r>
        <w:r w:rsidR="004C5910">
          <w:rPr>
            <w:rStyle w:val="afff5"/>
            <w:rFonts w:hint="eastAsia"/>
          </w:rPr>
          <w:t xml:space="preserve">　</w:t>
        </w:r>
        <w:r w:rsidR="004C5910" w:rsidRPr="004C5910">
          <w:rPr>
            <w:rStyle w:val="afff5"/>
            <w:rFonts w:hint="eastAsia"/>
          </w:rPr>
          <w:t>等级考量项目</w:t>
        </w:r>
        <w:r w:rsidR="004C5910" w:rsidRPr="004C5910">
          <w:rPr>
            <w:noProof/>
            <w:webHidden/>
          </w:rPr>
          <w:tab/>
        </w:r>
        <w:r w:rsidRPr="004C5910">
          <w:rPr>
            <w:noProof/>
            <w:webHidden/>
          </w:rPr>
          <w:fldChar w:fldCharType="begin" w:fldLock="1"/>
        </w:r>
        <w:r w:rsidR="004C5910" w:rsidRPr="004C5910">
          <w:rPr>
            <w:noProof/>
            <w:webHidden/>
          </w:rPr>
          <w:instrText xml:space="preserve"> PAGEREF _Toc47516955 \h </w:instrText>
        </w:r>
        <w:r w:rsidRPr="004C5910">
          <w:rPr>
            <w:noProof/>
            <w:webHidden/>
          </w:rPr>
        </w:r>
        <w:r w:rsidRPr="004C5910">
          <w:rPr>
            <w:noProof/>
            <w:webHidden/>
          </w:rPr>
          <w:fldChar w:fldCharType="separate"/>
        </w:r>
        <w:r w:rsidR="004C5910">
          <w:rPr>
            <w:noProof/>
            <w:webHidden/>
          </w:rPr>
          <w:t>2</w:t>
        </w:r>
        <w:r w:rsidRPr="004C5910">
          <w:rPr>
            <w:noProof/>
            <w:webHidden/>
          </w:rPr>
          <w:fldChar w:fldCharType="end"/>
        </w:r>
      </w:hyperlink>
    </w:p>
    <w:p w:rsidR="004C5910" w:rsidRPr="004C5910" w:rsidRDefault="00423BD7" w:rsidP="004C5910">
      <w:pPr>
        <w:pStyle w:val="1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7516956" w:history="1">
        <w:r w:rsidR="004C5910" w:rsidRPr="004C5910">
          <w:rPr>
            <w:rStyle w:val="afff5"/>
          </w:rPr>
          <w:t>7</w:t>
        </w:r>
        <w:r w:rsidR="004C5910">
          <w:rPr>
            <w:rStyle w:val="afff5"/>
            <w:rFonts w:hint="eastAsia"/>
          </w:rPr>
          <w:t xml:space="preserve">　</w:t>
        </w:r>
        <w:r w:rsidR="004C5910" w:rsidRPr="004C5910">
          <w:rPr>
            <w:rStyle w:val="afff5"/>
            <w:rFonts w:hint="eastAsia"/>
          </w:rPr>
          <w:t>等级划分条件与要求</w:t>
        </w:r>
        <w:r w:rsidR="004C5910" w:rsidRPr="004C5910">
          <w:rPr>
            <w:noProof/>
            <w:webHidden/>
          </w:rPr>
          <w:tab/>
        </w:r>
        <w:r w:rsidRPr="004C5910">
          <w:rPr>
            <w:noProof/>
            <w:webHidden/>
          </w:rPr>
          <w:fldChar w:fldCharType="begin" w:fldLock="1"/>
        </w:r>
        <w:r w:rsidR="004C5910" w:rsidRPr="004C5910">
          <w:rPr>
            <w:noProof/>
            <w:webHidden/>
          </w:rPr>
          <w:instrText xml:space="preserve"> PAGEREF _Toc47516956 \h </w:instrText>
        </w:r>
        <w:r w:rsidRPr="004C5910">
          <w:rPr>
            <w:noProof/>
            <w:webHidden/>
          </w:rPr>
        </w:r>
        <w:r w:rsidRPr="004C5910">
          <w:rPr>
            <w:noProof/>
            <w:webHidden/>
          </w:rPr>
          <w:fldChar w:fldCharType="separate"/>
        </w:r>
        <w:r w:rsidR="004C5910">
          <w:rPr>
            <w:noProof/>
            <w:webHidden/>
          </w:rPr>
          <w:t>2</w:t>
        </w:r>
        <w:r w:rsidRPr="004C5910">
          <w:rPr>
            <w:noProof/>
            <w:webHidden/>
          </w:rPr>
          <w:fldChar w:fldCharType="end"/>
        </w:r>
      </w:hyperlink>
    </w:p>
    <w:p w:rsidR="004C5910" w:rsidRPr="004C5910" w:rsidRDefault="00423BD7" w:rsidP="004C5910">
      <w:pPr>
        <w:pStyle w:val="aff6"/>
      </w:pPr>
      <w:r w:rsidRPr="004C5910">
        <w:fldChar w:fldCharType="end"/>
      </w:r>
    </w:p>
    <w:p w:rsidR="0020163C" w:rsidRDefault="0020163C" w:rsidP="0020163C">
      <w:pPr>
        <w:pStyle w:val="afffff"/>
      </w:pPr>
      <w:bookmarkStart w:id="17" w:name="_Toc47516949"/>
      <w:r>
        <w:rPr>
          <w:rFonts w:hint="eastAsia"/>
        </w:rPr>
        <w:lastRenderedPageBreak/>
        <w:t>前</w:t>
      </w:r>
      <w:bookmarkStart w:id="18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17"/>
      <w:bookmarkEnd w:id="18"/>
    </w:p>
    <w:p w:rsidR="0020163C" w:rsidRDefault="0020163C" w:rsidP="0020163C">
      <w:pPr>
        <w:pStyle w:val="aff6"/>
      </w:pPr>
      <w:r w:rsidRPr="00C70A21">
        <w:rPr>
          <w:rFonts w:hint="eastAsia"/>
        </w:rPr>
        <w:t>本</w:t>
      </w:r>
      <w:r w:rsidR="00303F64" w:rsidRPr="00C70A21">
        <w:rPr>
          <w:rFonts w:hint="eastAsia"/>
        </w:rPr>
        <w:t>文件</w:t>
      </w:r>
      <w:r w:rsidRPr="00C70A21">
        <w:rPr>
          <w:rFonts w:hint="eastAsia"/>
        </w:rPr>
        <w:t>按</w:t>
      </w:r>
      <w:r>
        <w:rPr>
          <w:rFonts w:hint="eastAsia"/>
        </w:rPr>
        <w:t>照GB/T 1.1-2020</w:t>
      </w:r>
      <w:r w:rsidR="000973DE">
        <w:rPr>
          <w:rFonts w:hint="eastAsia"/>
        </w:rPr>
        <w:t>《标准化工作导则 第1部分：标准化文件的结构和起草规则》</w:t>
      </w:r>
      <w:r>
        <w:rPr>
          <w:rFonts w:hint="eastAsia"/>
        </w:rPr>
        <w:t>的</w:t>
      </w:r>
      <w:r w:rsidR="000973DE">
        <w:rPr>
          <w:rFonts w:hint="eastAsia"/>
        </w:rPr>
        <w:t>规定</w:t>
      </w:r>
      <w:r>
        <w:rPr>
          <w:rFonts w:hint="eastAsia"/>
        </w:rPr>
        <w:t>起草。</w:t>
      </w:r>
    </w:p>
    <w:p w:rsidR="0020163C" w:rsidRDefault="000973DE" w:rsidP="0020163C">
      <w:pPr>
        <w:pStyle w:val="aff6"/>
      </w:pPr>
      <w:r>
        <w:rPr>
          <w:rFonts w:hint="eastAsia"/>
        </w:rPr>
        <w:t>本文件</w:t>
      </w:r>
      <w:r w:rsidR="0020163C">
        <w:rPr>
          <w:rFonts w:hint="eastAsia"/>
        </w:rPr>
        <w:t>代替GB/T 21072-2007</w:t>
      </w:r>
      <w:r>
        <w:rPr>
          <w:rFonts w:hint="eastAsia"/>
        </w:rPr>
        <w:t>《通用仓库等级》</w:t>
      </w:r>
      <w:r w:rsidR="0020163C">
        <w:rPr>
          <w:rFonts w:hint="eastAsia"/>
        </w:rPr>
        <w:t>，与GB/T 21072-2007相比</w:t>
      </w:r>
      <w:r>
        <w:rPr>
          <w:rFonts w:hint="eastAsia"/>
        </w:rPr>
        <w:t>，除结构调整和编辑性改动外，</w:t>
      </w:r>
      <w:r w:rsidR="0020163C">
        <w:rPr>
          <w:rFonts w:hint="eastAsia"/>
        </w:rPr>
        <w:t>主要技术内容变化如下：</w:t>
      </w:r>
    </w:p>
    <w:p w:rsidR="005C1D29" w:rsidRDefault="005C1D29" w:rsidP="00EE69E6">
      <w:pPr>
        <w:pStyle w:val="aff6"/>
      </w:pPr>
      <w:r>
        <w:rPr>
          <w:rFonts w:hint="eastAsia"/>
        </w:rPr>
        <w:t>――</w:t>
      </w:r>
      <w:r w:rsidR="009309A3">
        <w:rPr>
          <w:rFonts w:hint="eastAsia"/>
        </w:rPr>
        <w:t>增加了</w:t>
      </w:r>
      <w:r w:rsidR="00AF0050">
        <w:rPr>
          <w:rFonts w:hint="eastAsia"/>
        </w:rPr>
        <w:t>总则中</w:t>
      </w:r>
      <w:r w:rsidR="009309A3">
        <w:rPr>
          <w:rFonts w:hint="eastAsia"/>
        </w:rPr>
        <w:t>对通用仓库类型</w:t>
      </w:r>
      <w:r w:rsidR="000E338C">
        <w:rPr>
          <w:rFonts w:hint="eastAsia"/>
        </w:rPr>
        <w:t>的区分</w:t>
      </w:r>
      <w:r w:rsidR="009309A3">
        <w:rPr>
          <w:rFonts w:hint="eastAsia"/>
        </w:rPr>
        <w:t>，</w:t>
      </w:r>
      <w:r w:rsidR="00EE69E6">
        <w:rPr>
          <w:rFonts w:hint="eastAsia"/>
        </w:rPr>
        <w:t>并调整了部分</w:t>
      </w:r>
      <w:r w:rsidR="009309A3">
        <w:rPr>
          <w:rFonts w:hint="eastAsia"/>
        </w:rPr>
        <w:t>表述</w:t>
      </w:r>
      <w:r>
        <w:rPr>
          <w:rFonts w:hint="eastAsia"/>
        </w:rPr>
        <w:t>（见第4章）；</w:t>
      </w:r>
    </w:p>
    <w:p w:rsidR="0020163C" w:rsidRDefault="0020163C" w:rsidP="0020163C">
      <w:pPr>
        <w:pStyle w:val="aff6"/>
      </w:pPr>
      <w:r>
        <w:rPr>
          <w:rFonts w:hint="eastAsia"/>
        </w:rPr>
        <w:t>――增加了</w:t>
      </w:r>
      <w:r w:rsidR="002A4A8C">
        <w:rPr>
          <w:rFonts w:hint="eastAsia"/>
        </w:rPr>
        <w:t>“</w:t>
      </w:r>
      <w:r>
        <w:rPr>
          <w:rFonts w:hint="eastAsia"/>
        </w:rPr>
        <w:t>总体要求</w:t>
      </w:r>
      <w:r w:rsidR="002A4A8C">
        <w:rPr>
          <w:rFonts w:hint="eastAsia"/>
        </w:rPr>
        <w:t>”一章</w:t>
      </w:r>
      <w:r>
        <w:rPr>
          <w:rFonts w:hint="eastAsia"/>
        </w:rPr>
        <w:t>，将原</w:t>
      </w:r>
      <w:r w:rsidR="009309A3">
        <w:rPr>
          <w:rFonts w:hint="eastAsia"/>
        </w:rPr>
        <w:t>总则</w:t>
      </w:r>
      <w:r>
        <w:rPr>
          <w:rFonts w:hint="eastAsia"/>
        </w:rPr>
        <w:t>中涉及总体要求的条款放到了总体要求中（见第</w:t>
      </w:r>
      <w:r w:rsidR="007E18F5">
        <w:rPr>
          <w:rFonts w:hint="eastAsia"/>
        </w:rPr>
        <w:t>5</w:t>
      </w:r>
      <w:r>
        <w:rPr>
          <w:rFonts w:hint="eastAsia"/>
        </w:rPr>
        <w:t>章）；</w:t>
      </w:r>
    </w:p>
    <w:p w:rsidR="0020163C" w:rsidRDefault="0020163C" w:rsidP="0020163C">
      <w:pPr>
        <w:pStyle w:val="aff6"/>
      </w:pPr>
      <w:r>
        <w:rPr>
          <w:rFonts w:hint="eastAsia"/>
        </w:rPr>
        <w:t>――删除了</w:t>
      </w:r>
      <w:r w:rsidR="00EE69E6">
        <w:rPr>
          <w:rFonts w:hint="eastAsia"/>
        </w:rPr>
        <w:t>原标准中4.1的内容</w:t>
      </w:r>
      <w:r>
        <w:rPr>
          <w:rFonts w:hint="eastAsia"/>
        </w:rPr>
        <w:t>，</w:t>
      </w:r>
      <w:r w:rsidR="00EE69E6">
        <w:rPr>
          <w:rFonts w:hint="eastAsia"/>
        </w:rPr>
        <w:t>并增加了</w:t>
      </w:r>
      <w:r>
        <w:rPr>
          <w:rFonts w:hint="eastAsia"/>
        </w:rPr>
        <w:t>对无重大事故年限的要求（见5.1）；</w:t>
      </w:r>
    </w:p>
    <w:p w:rsidR="0020163C" w:rsidRDefault="0020163C" w:rsidP="0020163C">
      <w:pPr>
        <w:pStyle w:val="aff6"/>
      </w:pPr>
      <w:r>
        <w:rPr>
          <w:rFonts w:hint="eastAsia"/>
        </w:rPr>
        <w:t>――更改了参评库区关于设施设备的资质要求的表述（见5.2、5.3）；</w:t>
      </w:r>
    </w:p>
    <w:p w:rsidR="0020163C" w:rsidRDefault="0020163C" w:rsidP="0020163C">
      <w:pPr>
        <w:pStyle w:val="aff6"/>
      </w:pPr>
      <w:r>
        <w:rPr>
          <w:rFonts w:hint="eastAsia"/>
        </w:rPr>
        <w:t>――增加了“等级考量项目”部分（见第5章）</w:t>
      </w:r>
    </w:p>
    <w:p w:rsidR="0020163C" w:rsidRDefault="0020163C" w:rsidP="0020163C">
      <w:pPr>
        <w:pStyle w:val="aff6"/>
      </w:pPr>
      <w:r>
        <w:rPr>
          <w:rFonts w:hint="eastAsia"/>
        </w:rPr>
        <w:t>――更改了仓库等级条件和要求，分仓储服务企业仓库、仓库租赁企业仓库两种形式，分别给出了不同类型不同等级仓库所需达到的条件和要求（见第6章）；</w:t>
      </w:r>
    </w:p>
    <w:p w:rsidR="0020163C" w:rsidRDefault="000973DE" w:rsidP="0020163C">
      <w:pPr>
        <w:pStyle w:val="aff6"/>
      </w:pPr>
      <w:r>
        <w:rPr>
          <w:rFonts w:hint="eastAsia"/>
        </w:rPr>
        <w:t>本文件</w:t>
      </w:r>
      <w:r w:rsidR="0020163C">
        <w:rPr>
          <w:rFonts w:hint="eastAsia"/>
        </w:rPr>
        <w:t>由全国物流标准化技术委员会（SAC/TC 269）提出并归口。</w:t>
      </w:r>
    </w:p>
    <w:p w:rsidR="0020163C" w:rsidRDefault="000973DE" w:rsidP="0020163C">
      <w:pPr>
        <w:pStyle w:val="aff6"/>
      </w:pPr>
      <w:r>
        <w:rPr>
          <w:rFonts w:hint="eastAsia"/>
        </w:rPr>
        <w:t>本文件</w:t>
      </w:r>
      <w:r w:rsidR="0020163C">
        <w:rPr>
          <w:rFonts w:hint="eastAsia"/>
        </w:rPr>
        <w:t>起草单位：中国仓储与配送协会、阿帕数字技术有限公司、江苏苏宁物流有限公司、顺丰控股（集团）股份有限公司、菜鸟网络科技有限公司、深圳越海全球供应链有限公司、普洛斯投资(上海)有限公司、宝湾物流控股有限公司、四川物联亿达科技有限公司、中国外运长航集团有限公司、九州通医药集团股份有限公司、上海商业储运有限公司、武汉市商业储运有限责任公司、法布劳格物流咨询（北京）有限公司、建业恒安工程管理股份有限公司、机械工业第六设计研究院有限公司、北京工商大学、北京佳之兴物流有限公司、嘉里大通物流有限公司、上海市仓储与配送协会、山东省仓储与配送协会、中国中元国际工程有限公司、湖北物资流通技术研究所、北京求实工程管理有限公司、河南省物流协会、广东锐捷物流有限公司、成都市物流协会。</w:t>
      </w:r>
    </w:p>
    <w:p w:rsidR="0020163C" w:rsidRDefault="000973DE" w:rsidP="0020163C">
      <w:pPr>
        <w:pStyle w:val="aff6"/>
      </w:pPr>
      <w:r>
        <w:rPr>
          <w:rFonts w:hint="eastAsia"/>
        </w:rPr>
        <w:t>本文件</w:t>
      </w:r>
      <w:r w:rsidR="0020163C">
        <w:rPr>
          <w:rFonts w:hint="eastAsia"/>
        </w:rPr>
        <w:t xml:space="preserve">主要起草人： </w:t>
      </w:r>
    </w:p>
    <w:p w:rsidR="0020163C" w:rsidRPr="0020163C" w:rsidRDefault="000973DE" w:rsidP="0020163C">
      <w:pPr>
        <w:pStyle w:val="aff6"/>
      </w:pPr>
      <w:r>
        <w:rPr>
          <w:rFonts w:hint="eastAsia"/>
        </w:rPr>
        <w:t>本文件</w:t>
      </w:r>
      <w:r w:rsidR="0020163C">
        <w:rPr>
          <w:rFonts w:hint="eastAsia"/>
        </w:rPr>
        <w:t>于2007年9月首次发布，本次为第一次修订。</w:t>
      </w:r>
    </w:p>
    <w:p w:rsidR="0020163C" w:rsidRPr="0020163C" w:rsidRDefault="0020163C" w:rsidP="0020163C">
      <w:pPr>
        <w:pStyle w:val="aff6"/>
        <w:sectPr w:rsidR="0020163C" w:rsidRPr="0020163C" w:rsidSect="0020163C">
          <w:headerReference w:type="default" r:id="rId11"/>
          <w:footerReference w:type="default" r:id="rId12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B74441" w:rsidRDefault="00423BD7" w:rsidP="004C5910">
      <w:pPr>
        <w:pStyle w:val="aff9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r w:rsidR="004C5910">
            <w:rPr>
              <w:rFonts w:hint="eastAsia"/>
            </w:rPr>
            <w:t>通用仓库等级</w:t>
          </w:r>
        </w:sdtContent>
      </w:sdt>
      <w:bookmarkStart w:id="19" w:name="StandardName"/>
      <w:bookmarkEnd w:id="19"/>
    </w:p>
    <w:p w:rsidR="004200D9" w:rsidRPr="0020163C" w:rsidRDefault="00F34B99" w:rsidP="0020163C">
      <w:pPr>
        <w:pStyle w:val="a1"/>
        <w:spacing w:before="312" w:after="312"/>
      </w:pPr>
      <w:bookmarkStart w:id="20" w:name="_Toc47516950"/>
      <w:r>
        <w:rPr>
          <w:rFonts w:hint="eastAsia"/>
        </w:rPr>
        <w:t>范围</w:t>
      </w:r>
      <w:bookmarkEnd w:id="20"/>
    </w:p>
    <w:p w:rsidR="0020163C" w:rsidRDefault="000973DE" w:rsidP="0020163C">
      <w:pPr>
        <w:pStyle w:val="aff6"/>
      </w:pPr>
      <w:r w:rsidRPr="00C70A21">
        <w:rPr>
          <w:rFonts w:hint="eastAsia"/>
        </w:rPr>
        <w:t>本文件</w:t>
      </w:r>
      <w:r w:rsidR="0020163C" w:rsidRPr="00C70A21">
        <w:rPr>
          <w:rFonts w:hint="eastAsia"/>
        </w:rPr>
        <w:t>规定了通</w:t>
      </w:r>
      <w:r w:rsidR="0020163C">
        <w:rPr>
          <w:rFonts w:hint="eastAsia"/>
        </w:rPr>
        <w:t>用仓库等级划分的</w:t>
      </w:r>
      <w:r w:rsidR="004E6DF6">
        <w:rPr>
          <w:rFonts w:hint="eastAsia"/>
        </w:rPr>
        <w:t>总则</w:t>
      </w:r>
      <w:r w:rsidR="0020163C">
        <w:rPr>
          <w:rFonts w:hint="eastAsia"/>
        </w:rPr>
        <w:t>、总体要求、考量项目、条件与要求。</w:t>
      </w:r>
    </w:p>
    <w:p w:rsidR="0090690F" w:rsidRPr="0090690F" w:rsidRDefault="000973DE" w:rsidP="0020163C">
      <w:pPr>
        <w:pStyle w:val="aff6"/>
      </w:pPr>
      <w:r>
        <w:rPr>
          <w:rFonts w:hint="eastAsia"/>
        </w:rPr>
        <w:t>本文件</w:t>
      </w:r>
      <w:r w:rsidR="0020163C">
        <w:rPr>
          <w:rFonts w:hint="eastAsia"/>
        </w:rPr>
        <w:t>适用于仓储服务企业、仓库租赁企业的通用仓库，不适用</w:t>
      </w:r>
      <w:r w:rsidR="005D3CD8">
        <w:rPr>
          <w:rFonts w:hint="eastAsia"/>
        </w:rPr>
        <w:t>于</w:t>
      </w:r>
      <w:r w:rsidR="0020163C">
        <w:rPr>
          <w:rFonts w:hint="eastAsia"/>
        </w:rPr>
        <w:t>冷</w:t>
      </w:r>
      <w:r w:rsidR="00EE69E6">
        <w:rPr>
          <w:rFonts w:hint="eastAsia"/>
        </w:rPr>
        <w:t>库及</w:t>
      </w:r>
      <w:r w:rsidR="0020163C">
        <w:rPr>
          <w:rFonts w:hint="eastAsia"/>
        </w:rPr>
        <w:t>危险品仓库。</w:t>
      </w:r>
    </w:p>
    <w:p w:rsidR="00F34B99" w:rsidRDefault="00F34B99" w:rsidP="0020163C">
      <w:pPr>
        <w:pStyle w:val="a1"/>
        <w:spacing w:before="312" w:after="312"/>
      </w:pPr>
      <w:bookmarkStart w:id="21" w:name="_Toc47516951"/>
      <w:r>
        <w:rPr>
          <w:rFonts w:hint="eastAsia"/>
        </w:rPr>
        <w:t>规范性引用文件</w:t>
      </w:r>
      <w:bookmarkEnd w:id="21"/>
    </w:p>
    <w:p w:rsidR="00032678" w:rsidRDefault="0020163C" w:rsidP="0020163C">
      <w:pPr>
        <w:pStyle w:val="aff6"/>
      </w:pPr>
      <w:r>
        <w:rPr>
          <w:rFonts w:hint="eastAsia"/>
        </w:rPr>
        <w:t>下列文件</w:t>
      </w:r>
      <w:r w:rsidR="00032678">
        <w:rPr>
          <w:rFonts w:hint="eastAsia"/>
        </w:rPr>
        <w:t>中的内容通过文中的规范性引用而构成本文件必不可少的条款。其中，注日期的引用文件，仅该日期对应的版本适用于本文件；不注日期的引用文件，其最新版本（包括所有的修改单）适用于本文件。</w:t>
      </w:r>
    </w:p>
    <w:p w:rsidR="008805AC" w:rsidRPr="008805AC" w:rsidRDefault="0020163C" w:rsidP="0020163C">
      <w:pPr>
        <w:pStyle w:val="aff6"/>
      </w:pPr>
      <w:r>
        <w:rPr>
          <w:rFonts w:hint="eastAsia"/>
        </w:rPr>
        <w:t>GB/T 18354-2006 物流术语</w:t>
      </w:r>
    </w:p>
    <w:p w:rsidR="0020163C" w:rsidRDefault="0020163C" w:rsidP="0020163C">
      <w:pPr>
        <w:pStyle w:val="a1"/>
        <w:spacing w:before="312" w:after="312"/>
      </w:pPr>
      <w:bookmarkStart w:id="22" w:name="_Toc47516952"/>
      <w:r>
        <w:rPr>
          <w:rFonts w:hint="eastAsia"/>
        </w:rPr>
        <w:t>术语与定义</w:t>
      </w:r>
      <w:bookmarkEnd w:id="22"/>
    </w:p>
    <w:p w:rsidR="0020163C" w:rsidRDefault="0020163C" w:rsidP="0020163C">
      <w:pPr>
        <w:pStyle w:val="a2"/>
        <w:spacing w:before="156" w:after="156"/>
      </w:pPr>
    </w:p>
    <w:p w:rsidR="0020163C" w:rsidRDefault="0020163C" w:rsidP="0020163C">
      <w:pPr>
        <w:pStyle w:val="a2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    通用仓库  general warehouse</w:t>
      </w:r>
    </w:p>
    <w:p w:rsidR="0020163C" w:rsidRDefault="0020163C" w:rsidP="0020163C">
      <w:pPr>
        <w:pStyle w:val="aff6"/>
      </w:pPr>
      <w:r>
        <w:rPr>
          <w:rFonts w:hint="eastAsia"/>
        </w:rPr>
        <w:t>除冷藏冷冻物品、危险物品等具有特殊要求物品外，能满足一般物品储存要求的仓库。</w:t>
      </w:r>
    </w:p>
    <w:p w:rsidR="0020163C" w:rsidRDefault="0020163C" w:rsidP="0020163C">
      <w:pPr>
        <w:pStyle w:val="a2"/>
        <w:spacing w:before="156" w:after="156"/>
      </w:pPr>
    </w:p>
    <w:p w:rsidR="0020163C" w:rsidRDefault="0020163C" w:rsidP="0020163C">
      <w:pPr>
        <w:pStyle w:val="a2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    库区  warehouse area</w:t>
      </w:r>
    </w:p>
    <w:p w:rsidR="0020163C" w:rsidRDefault="0020163C" w:rsidP="0020163C">
      <w:pPr>
        <w:pStyle w:val="aff6"/>
      </w:pPr>
      <w:r>
        <w:rPr>
          <w:rFonts w:hint="eastAsia"/>
        </w:rPr>
        <w:t>由同一单位实施管理、由一栋或多栋仓库及附属设施组成的独立区域。</w:t>
      </w:r>
    </w:p>
    <w:p w:rsidR="0020163C" w:rsidRDefault="0020163C" w:rsidP="0020163C">
      <w:pPr>
        <w:pStyle w:val="a2"/>
        <w:spacing w:before="156" w:after="156"/>
      </w:pPr>
    </w:p>
    <w:p w:rsidR="0020163C" w:rsidRPr="00C70A21" w:rsidRDefault="0020163C" w:rsidP="0020163C">
      <w:pPr>
        <w:pStyle w:val="a2"/>
        <w:numPr>
          <w:ilvl w:val="0"/>
          <w:numId w:val="0"/>
        </w:numPr>
        <w:spacing w:before="156" w:after="156"/>
      </w:pPr>
      <w:r w:rsidRPr="00C70A21">
        <w:rPr>
          <w:rFonts w:hint="eastAsia"/>
        </w:rPr>
        <w:t>高架仓库  high rack storage</w:t>
      </w:r>
    </w:p>
    <w:p w:rsidR="0020163C" w:rsidRPr="00C70A21" w:rsidRDefault="0020163C" w:rsidP="0020163C">
      <w:pPr>
        <w:pStyle w:val="aff6"/>
      </w:pPr>
      <w:r w:rsidRPr="00C70A21">
        <w:rPr>
          <w:rFonts w:hint="eastAsia"/>
        </w:rPr>
        <w:t>货架高度大于7m且采用机械化操作或自动化控制的货架仓库。</w:t>
      </w:r>
    </w:p>
    <w:p w:rsidR="0020163C" w:rsidRPr="00C70A21" w:rsidRDefault="0020163C" w:rsidP="0020163C">
      <w:pPr>
        <w:pStyle w:val="aff6"/>
      </w:pPr>
      <w:r w:rsidRPr="00C70A21">
        <w:rPr>
          <w:rFonts w:hint="eastAsia"/>
        </w:rPr>
        <w:t>[</w:t>
      </w:r>
      <w:r w:rsidR="000973DE" w:rsidRPr="00C70A21">
        <w:rPr>
          <w:rFonts w:hint="eastAsia"/>
        </w:rPr>
        <w:t>来源：</w:t>
      </w:r>
      <w:r w:rsidRPr="00C70A21">
        <w:rPr>
          <w:rFonts w:hint="eastAsia"/>
        </w:rPr>
        <w:t>GB/T 50016-2014，2.1.5]</w:t>
      </w:r>
    </w:p>
    <w:p w:rsidR="0020163C" w:rsidRPr="00C70A21" w:rsidRDefault="00885408" w:rsidP="0020163C">
      <w:pPr>
        <w:pStyle w:val="a1"/>
        <w:spacing w:before="312" w:after="312"/>
      </w:pPr>
      <w:r w:rsidRPr="00C70A21">
        <w:rPr>
          <w:rFonts w:hint="eastAsia"/>
        </w:rPr>
        <w:t>总则</w:t>
      </w:r>
    </w:p>
    <w:p w:rsidR="000A3FDA" w:rsidRPr="000A3FDA" w:rsidRDefault="0020163C" w:rsidP="000A3FDA">
      <w:pPr>
        <w:pStyle w:val="a2"/>
        <w:spacing w:beforeLines="0" w:afterLines="0"/>
        <w:rPr>
          <w:rFonts w:ascii="宋体" w:eastAsia="宋体"/>
        </w:rPr>
      </w:pPr>
      <w:r w:rsidRPr="000A3FDA">
        <w:rPr>
          <w:rFonts w:ascii="宋体" w:eastAsia="宋体" w:hint="eastAsia"/>
        </w:rPr>
        <w:t>以独立的库区为单位，从设施设备条件、管理水平、信息化水平、人员素质、物业管理水平五个方面划分等级，同一企业的不同库区分别划分等级。</w:t>
      </w:r>
    </w:p>
    <w:p w:rsidR="000A3FDA" w:rsidRPr="000A3FDA" w:rsidRDefault="000A3FDA" w:rsidP="000A3FDA">
      <w:pPr>
        <w:pStyle w:val="a2"/>
        <w:spacing w:beforeLines="0" w:afterLines="0"/>
        <w:rPr>
          <w:rFonts w:ascii="宋体" w:eastAsia="宋体"/>
        </w:rPr>
      </w:pPr>
      <w:r w:rsidRPr="000A3FDA">
        <w:rPr>
          <w:rFonts w:ascii="宋体" w:eastAsia="宋体" w:hint="eastAsia"/>
        </w:rPr>
        <w:t>通用仓库按企业性质分为仓储服务企业仓库、仓库租赁企业仓库。</w:t>
      </w:r>
    </w:p>
    <w:p w:rsidR="0020163C" w:rsidRPr="000A3FDA" w:rsidRDefault="000A3FDA" w:rsidP="000A3FDA">
      <w:pPr>
        <w:pStyle w:val="a2"/>
        <w:spacing w:beforeLines="0" w:afterLines="0"/>
        <w:rPr>
          <w:rFonts w:ascii="宋体" w:eastAsia="宋体"/>
        </w:rPr>
      </w:pPr>
      <w:r w:rsidRPr="000A3FDA">
        <w:rPr>
          <w:rFonts w:ascii="宋体" w:eastAsia="宋体" w:hint="eastAsia"/>
        </w:rPr>
        <w:t>通用仓库共划分为5五个等级，一星级为最低，五星级为最高。</w:t>
      </w:r>
    </w:p>
    <w:p w:rsidR="0020163C" w:rsidRDefault="0020163C" w:rsidP="0020163C">
      <w:pPr>
        <w:pStyle w:val="a1"/>
        <w:spacing w:before="312" w:after="312"/>
      </w:pPr>
      <w:bookmarkStart w:id="23" w:name="_Toc47516954"/>
      <w:r>
        <w:rPr>
          <w:rFonts w:hint="eastAsia"/>
        </w:rPr>
        <w:t>总体要求</w:t>
      </w:r>
      <w:bookmarkEnd w:id="23"/>
    </w:p>
    <w:p w:rsidR="0020163C" w:rsidRPr="0020163C" w:rsidRDefault="00992DBA" w:rsidP="0020163C">
      <w:pPr>
        <w:pStyle w:val="a2"/>
        <w:spacing w:beforeLines="0" w:afterLines="0"/>
        <w:rPr>
          <w:rFonts w:ascii="宋体" w:eastAsia="宋体"/>
        </w:rPr>
      </w:pPr>
      <w:r>
        <w:rPr>
          <w:rFonts w:ascii="宋体" w:eastAsia="宋体" w:hint="eastAsia"/>
        </w:rPr>
        <w:t>库区</w:t>
      </w:r>
      <w:r w:rsidR="0020163C" w:rsidRPr="0020163C">
        <w:rPr>
          <w:rFonts w:ascii="宋体" w:eastAsia="宋体" w:hint="eastAsia"/>
        </w:rPr>
        <w:t>三年内无</w:t>
      </w:r>
      <w:r w:rsidR="005B0016">
        <w:rPr>
          <w:rFonts w:ascii="宋体" w:eastAsia="宋体" w:hint="eastAsia"/>
        </w:rPr>
        <w:t>较</w:t>
      </w:r>
      <w:r w:rsidR="0020163C" w:rsidRPr="0020163C">
        <w:rPr>
          <w:rFonts w:ascii="宋体" w:eastAsia="宋体" w:hint="eastAsia"/>
        </w:rPr>
        <w:t>大事故。</w:t>
      </w:r>
    </w:p>
    <w:p w:rsidR="0020163C" w:rsidRPr="0020163C" w:rsidRDefault="0020163C" w:rsidP="0020163C">
      <w:pPr>
        <w:pStyle w:val="a2"/>
        <w:spacing w:beforeLines="0" w:afterLines="0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库区的土地、仓库建筑、配套设施具备合法手续，并符合相关规定。</w:t>
      </w:r>
    </w:p>
    <w:p w:rsidR="0020163C" w:rsidRPr="0020163C" w:rsidRDefault="0020163C" w:rsidP="0020163C">
      <w:pPr>
        <w:pStyle w:val="a2"/>
        <w:spacing w:beforeLines="0" w:afterLines="0"/>
        <w:rPr>
          <w:rFonts w:ascii="宋体" w:eastAsia="宋体"/>
        </w:rPr>
      </w:pPr>
      <w:r w:rsidRPr="0020163C">
        <w:rPr>
          <w:rFonts w:ascii="宋体" w:eastAsia="宋体" w:hint="eastAsia"/>
        </w:rPr>
        <w:t>服务项目和运行管理必须符合国家有关法规</w:t>
      </w:r>
      <w:r w:rsidR="001824DF">
        <w:rPr>
          <w:rFonts w:ascii="宋体" w:eastAsia="宋体" w:hint="eastAsia"/>
        </w:rPr>
        <w:t>、</w:t>
      </w:r>
      <w:r w:rsidRPr="0020163C">
        <w:rPr>
          <w:rFonts w:ascii="宋体" w:eastAsia="宋体" w:hint="eastAsia"/>
        </w:rPr>
        <w:t>标准的要求。</w:t>
      </w:r>
    </w:p>
    <w:p w:rsidR="0020163C" w:rsidRDefault="0020163C" w:rsidP="0020163C">
      <w:pPr>
        <w:pStyle w:val="a1"/>
        <w:spacing w:before="312" w:after="312"/>
      </w:pPr>
      <w:bookmarkStart w:id="24" w:name="_Toc47516955"/>
      <w:r>
        <w:rPr>
          <w:rFonts w:hint="eastAsia"/>
        </w:rPr>
        <w:t>等级考量项目</w:t>
      </w:r>
      <w:bookmarkEnd w:id="24"/>
    </w:p>
    <w:p w:rsidR="0020163C" w:rsidRDefault="0020163C" w:rsidP="0020163C">
      <w:pPr>
        <w:pStyle w:val="a2"/>
        <w:spacing w:before="156" w:after="156"/>
      </w:pPr>
      <w:bookmarkStart w:id="25" w:name="_Hlk47536346"/>
      <w:r>
        <w:rPr>
          <w:rFonts w:hint="eastAsia"/>
        </w:rPr>
        <w:t>仓储服务企业仓库</w:t>
      </w:r>
      <w:bookmarkEnd w:id="25"/>
    </w:p>
    <w:p w:rsidR="0020163C" w:rsidRPr="0020163C" w:rsidRDefault="0020163C" w:rsidP="0020163C">
      <w:pPr>
        <w:pStyle w:val="affd"/>
      </w:pPr>
      <w:r w:rsidRPr="0020163C">
        <w:rPr>
          <w:rFonts w:hint="eastAsia"/>
        </w:rPr>
        <w:t>库区的设施设备</w:t>
      </w:r>
      <w:r w:rsidR="004948D5" w:rsidRPr="0020163C">
        <w:rPr>
          <w:rFonts w:hint="eastAsia"/>
        </w:rPr>
        <w:t>条件</w:t>
      </w:r>
      <w:r w:rsidRPr="0020163C">
        <w:rPr>
          <w:rFonts w:hint="eastAsia"/>
        </w:rPr>
        <w:t>。</w:t>
      </w:r>
    </w:p>
    <w:p w:rsidR="0020163C" w:rsidRPr="0020163C" w:rsidRDefault="0020163C" w:rsidP="0020163C">
      <w:pPr>
        <w:pStyle w:val="affd"/>
      </w:pPr>
      <w:r w:rsidRPr="0020163C">
        <w:rPr>
          <w:rFonts w:hint="eastAsia"/>
        </w:rPr>
        <w:t>库区的运营管理水平。</w:t>
      </w:r>
    </w:p>
    <w:p w:rsidR="0020163C" w:rsidRPr="0020163C" w:rsidRDefault="0020163C" w:rsidP="0020163C">
      <w:pPr>
        <w:pStyle w:val="affd"/>
      </w:pPr>
      <w:r w:rsidRPr="0020163C">
        <w:rPr>
          <w:rFonts w:hint="eastAsia"/>
        </w:rPr>
        <w:t>库区的信息化水平。</w:t>
      </w:r>
    </w:p>
    <w:p w:rsidR="0020163C" w:rsidRPr="0020163C" w:rsidRDefault="0020163C" w:rsidP="0020163C">
      <w:pPr>
        <w:pStyle w:val="affd"/>
      </w:pPr>
      <w:r w:rsidRPr="0020163C">
        <w:rPr>
          <w:rFonts w:hint="eastAsia"/>
        </w:rPr>
        <w:t>库区的人员素质。</w:t>
      </w:r>
    </w:p>
    <w:p w:rsidR="0020163C" w:rsidRPr="0020163C" w:rsidRDefault="0020163C" w:rsidP="004C5910">
      <w:pPr>
        <w:pStyle w:val="a2"/>
        <w:spacing w:before="156" w:after="156"/>
      </w:pPr>
      <w:bookmarkStart w:id="26" w:name="_Hlk47536353"/>
      <w:r w:rsidRPr="0020163C">
        <w:rPr>
          <w:rFonts w:hint="eastAsia"/>
        </w:rPr>
        <w:t>仓库租赁企业仓库</w:t>
      </w:r>
      <w:bookmarkEnd w:id="26"/>
    </w:p>
    <w:p w:rsidR="0020163C" w:rsidRPr="0020163C" w:rsidRDefault="0020163C" w:rsidP="0020163C">
      <w:pPr>
        <w:pStyle w:val="affd"/>
      </w:pPr>
      <w:r w:rsidRPr="0020163C">
        <w:rPr>
          <w:rFonts w:hint="eastAsia"/>
        </w:rPr>
        <w:t>库区的设施设备条件。</w:t>
      </w:r>
    </w:p>
    <w:p w:rsidR="0020163C" w:rsidRPr="0020163C" w:rsidRDefault="0020163C" w:rsidP="0020163C">
      <w:pPr>
        <w:pStyle w:val="affd"/>
      </w:pPr>
      <w:r w:rsidRPr="0020163C">
        <w:rPr>
          <w:rFonts w:hint="eastAsia"/>
        </w:rPr>
        <w:t>库区的物业管理水平。</w:t>
      </w:r>
    </w:p>
    <w:p w:rsidR="0020163C" w:rsidRPr="0020163C" w:rsidRDefault="0020163C" w:rsidP="0020163C">
      <w:pPr>
        <w:pStyle w:val="affd"/>
      </w:pPr>
      <w:r w:rsidRPr="0020163C">
        <w:rPr>
          <w:rFonts w:hint="eastAsia"/>
        </w:rPr>
        <w:t>库区的信息化水平。</w:t>
      </w:r>
    </w:p>
    <w:p w:rsidR="0020163C" w:rsidRDefault="0020163C" w:rsidP="0020163C">
      <w:pPr>
        <w:pStyle w:val="a1"/>
        <w:spacing w:before="312" w:after="312"/>
      </w:pPr>
      <w:bookmarkStart w:id="27" w:name="_Toc47516956"/>
      <w:r>
        <w:rPr>
          <w:rFonts w:hint="eastAsia"/>
        </w:rPr>
        <w:t>等级划分条件与要求</w:t>
      </w:r>
      <w:bookmarkEnd w:id="27"/>
    </w:p>
    <w:p w:rsidR="0020163C" w:rsidRDefault="0020163C" w:rsidP="0020163C">
      <w:pPr>
        <w:pStyle w:val="a2"/>
        <w:spacing w:before="156" w:after="156"/>
      </w:pPr>
      <w:r>
        <w:rPr>
          <w:rFonts w:hint="eastAsia"/>
        </w:rPr>
        <w:t>仓储服务企业仓库</w:t>
      </w:r>
    </w:p>
    <w:p w:rsidR="0020163C" w:rsidRDefault="0020163C" w:rsidP="0020163C">
      <w:pPr>
        <w:pStyle w:val="aff6"/>
      </w:pPr>
      <w:r>
        <w:rPr>
          <w:rFonts w:hint="eastAsia"/>
        </w:rPr>
        <w:t>仓储服务企业仓库等级划分条件和要求见表1。</w:t>
      </w:r>
    </w:p>
    <w:p w:rsidR="0020163C" w:rsidRDefault="0020163C" w:rsidP="0020163C">
      <w:pPr>
        <w:pStyle w:val="af7"/>
        <w:spacing w:before="156" w:after="156"/>
      </w:pPr>
      <w:r>
        <w:rPr>
          <w:rFonts w:hint="eastAsia"/>
        </w:rPr>
        <w:t>仓储服务企业仓库等级划分条件和要求</w:t>
      </w:r>
    </w:p>
    <w:tbl>
      <w:tblPr>
        <w:tblStyle w:val="afffff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636"/>
        <w:gridCol w:w="637"/>
        <w:gridCol w:w="1545"/>
        <w:gridCol w:w="1688"/>
        <w:gridCol w:w="1688"/>
        <w:gridCol w:w="1688"/>
        <w:gridCol w:w="1688"/>
      </w:tblGrid>
      <w:tr w:rsidR="00D310C2" w:rsidTr="003C0383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划分指标</w:t>
            </w:r>
          </w:p>
        </w:tc>
        <w:tc>
          <w:tcPr>
            <w:tcW w:w="829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仓库等级</w:t>
            </w:r>
          </w:p>
        </w:tc>
      </w:tr>
      <w:tr w:rsidR="00D310C2" w:rsidTr="003C0383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项目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类别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一星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二星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三星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四星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五星</w:t>
            </w:r>
          </w:p>
        </w:tc>
      </w:tr>
      <w:tr w:rsidR="001824DF" w:rsidTr="003C0383">
        <w:trPr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24DF" w:rsidRPr="001B5825" w:rsidRDefault="001824DF" w:rsidP="001824DF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18"/>
              </w:rPr>
              <w:t>设施设备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</w:tcBorders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仓库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库区仓库总面积5000㎡以上</w:t>
            </w:r>
          </w:p>
        </w:tc>
        <w:tc>
          <w:tcPr>
            <w:tcW w:w="506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库区仓库总面积10000㎡以上</w:t>
            </w:r>
          </w:p>
        </w:tc>
      </w:tr>
      <w:tr w:rsidR="001824DF" w:rsidTr="003C0383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高架仓库比例达到40%以上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高架仓库比例达到50%以上</w:t>
            </w:r>
          </w:p>
        </w:tc>
      </w:tr>
      <w:tr w:rsidR="001824DF" w:rsidTr="003C0383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仓库有装卸站台</w:t>
            </w:r>
          </w:p>
        </w:tc>
      </w:tr>
      <w:tr w:rsidR="001824DF" w:rsidTr="003C0383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装卸站台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设有</w:t>
            </w: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登车桥</w:t>
            </w:r>
          </w:p>
        </w:tc>
      </w:tr>
      <w:tr w:rsidR="001824DF" w:rsidTr="003C0383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装卸站台有雨棚</w:t>
            </w:r>
          </w:p>
        </w:tc>
      </w:tr>
      <w:tr w:rsidR="001824DF" w:rsidTr="003C0383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装卸机具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有必要的装卸机具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叉车或搬运车（机械化作业率30%）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叉车或搬运车（机械化作业率50%）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叉车或搬运车（机械化作业率70%）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叉车或搬运车（机械化作业率90%）</w:t>
            </w:r>
          </w:p>
        </w:tc>
      </w:tr>
      <w:tr w:rsidR="001824DF" w:rsidTr="003C0383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库区通道</w:t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库区通道硬化、作业区满足一般货运车辆通行及作业要求。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库区通道及作业区能满足40英尺集装箱卡车（或同类型车）作业要求，拥有与业务规模相适应的停车场</w:t>
            </w:r>
          </w:p>
        </w:tc>
      </w:tr>
      <w:tr w:rsidR="001824DF" w:rsidTr="003C0383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1824DF" w:rsidRPr="001B5825" w:rsidRDefault="001824DF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消防</w:t>
            </w:r>
          </w:p>
        </w:tc>
        <w:tc>
          <w:tcPr>
            <w:tcW w:w="8297" w:type="dxa"/>
            <w:gridSpan w:val="5"/>
            <w:shd w:val="clear" w:color="auto" w:fill="auto"/>
            <w:vAlign w:val="center"/>
          </w:tcPr>
          <w:p w:rsidR="001824DF" w:rsidRPr="001B5825" w:rsidRDefault="001824DF" w:rsidP="00D310C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有消防水池或消防水箱，配备满足要求的消防栓、消防器材</w:t>
            </w:r>
          </w:p>
        </w:tc>
      </w:tr>
      <w:tr w:rsidR="00F3042F" w:rsidTr="003C0383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火灾</w:t>
            </w:r>
            <w:r w:rsidRPr="0089702B">
              <w:rPr>
                <w:rFonts w:asciiTheme="minorEastAsia" w:eastAsiaTheme="minorEastAsia" w:hAnsiTheme="minorEastAsia" w:hint="eastAsia"/>
                <w:szCs w:val="18"/>
              </w:rPr>
              <w:t>自动报警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系统</w:t>
            </w:r>
            <w:r w:rsidRPr="0089702B">
              <w:rPr>
                <w:rFonts w:asciiTheme="minorEastAsia" w:eastAsiaTheme="minorEastAsia" w:hAnsiTheme="minorEastAsia" w:hint="eastAsia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自动</w:t>
            </w: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喷淋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灭火系统</w:t>
            </w:r>
          </w:p>
        </w:tc>
      </w:tr>
      <w:tr w:rsidR="00F3042F" w:rsidTr="003C0383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有消防检查记录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有</w:t>
            </w: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消防验收报告或备案</w:t>
            </w:r>
          </w:p>
        </w:tc>
      </w:tr>
      <w:tr w:rsidR="00F3042F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其他</w:t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210424">
              <w:rPr>
                <w:rFonts w:asciiTheme="minorEastAsia" w:eastAsiaTheme="minorEastAsia" w:hAnsiTheme="minorEastAsia" w:hint="eastAsia"/>
                <w:szCs w:val="18"/>
              </w:rPr>
              <w:t>─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有</w:t>
            </w: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双路电配置或有备用发电机</w:t>
            </w:r>
          </w:p>
        </w:tc>
      </w:tr>
      <w:tr w:rsidR="00F3042F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210424">
              <w:rPr>
                <w:rFonts w:asciiTheme="minorEastAsia" w:eastAsiaTheme="minorEastAsia" w:hAnsiTheme="minorEastAsia" w:hint="eastAsia"/>
                <w:szCs w:val="18"/>
              </w:rPr>
              <w:t>─</w:t>
            </w:r>
          </w:p>
        </w:tc>
        <w:tc>
          <w:tcPr>
            <w:tcW w:w="5064" w:type="dxa"/>
            <w:gridSpan w:val="3"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有可视化监控设备</w:t>
            </w:r>
          </w:p>
        </w:tc>
      </w:tr>
      <w:tr w:rsidR="00F3042F" w:rsidTr="007120D6">
        <w:trPr>
          <w:trHeight w:val="4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F3042F" w:rsidRPr="001B5825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F3042F" w:rsidRPr="0089702B" w:rsidRDefault="00F3042F" w:rsidP="00F3042F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─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F3042F" w:rsidRPr="0089702B" w:rsidRDefault="00F3042F" w:rsidP="00F3042F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有自动立体货架、自动分拣设备、其他自动化作业设备（有其中一项即可）</w:t>
            </w:r>
          </w:p>
        </w:tc>
      </w:tr>
    </w:tbl>
    <w:p w:rsidR="00D310C2" w:rsidRPr="00093F59" w:rsidRDefault="00456FF4" w:rsidP="00456FF4">
      <w:pPr>
        <w:pStyle w:val="af7"/>
        <w:numPr>
          <w:ilvl w:val="0"/>
          <w:numId w:val="0"/>
        </w:numPr>
        <w:spacing w:before="156" w:after="156"/>
      </w:pPr>
      <w:r>
        <w:rPr>
          <w:rFonts w:hint="eastAsia"/>
        </w:rPr>
        <w:lastRenderedPageBreak/>
        <w:t xml:space="preserve">表1  </w:t>
      </w:r>
      <w:r w:rsidR="00D310C2" w:rsidRPr="00D310C2">
        <w:rPr>
          <w:rFonts w:hint="eastAsia"/>
        </w:rPr>
        <w:t>仓储服务企业仓库等级划分条件和要求</w:t>
      </w:r>
      <w:r w:rsidR="00D310C2" w:rsidRPr="00456FF4">
        <w:rPr>
          <w:rFonts w:asciiTheme="minorEastAsia" w:eastAsiaTheme="minorEastAsia" w:hAnsiTheme="minorEastAsia" w:hint="eastAsia"/>
        </w:rPr>
        <w:t>（续）</w:t>
      </w:r>
    </w:p>
    <w:tbl>
      <w:tblPr>
        <w:tblStyle w:val="afffffa"/>
        <w:tblW w:w="97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636"/>
        <w:gridCol w:w="637"/>
        <w:gridCol w:w="1134"/>
        <w:gridCol w:w="1134"/>
        <w:gridCol w:w="1701"/>
        <w:gridCol w:w="2268"/>
        <w:gridCol w:w="2268"/>
      </w:tblGrid>
      <w:tr w:rsidR="00D310C2" w:rsidRPr="001B5825" w:rsidTr="00210424">
        <w:trPr>
          <w:jc w:val="center"/>
        </w:trPr>
        <w:tc>
          <w:tcPr>
            <w:tcW w:w="127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划分指标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仓库等级</w:t>
            </w:r>
          </w:p>
        </w:tc>
      </w:tr>
      <w:tr w:rsidR="00D310C2" w:rsidRPr="001B5825" w:rsidTr="00210424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项目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一星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二星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三星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四星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五星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管理水平</w:t>
            </w:r>
          </w:p>
        </w:tc>
        <w:tc>
          <w:tcPr>
            <w:tcW w:w="637" w:type="dxa"/>
            <w:vMerge w:val="restart"/>
            <w:tcBorders>
              <w:top w:val="nil"/>
            </w:tcBorders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管理制度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管理组织架构清晰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安全管理制度齐全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运营管理制度健全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有运营、安全培训计划，各项记录齐全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有持续改进计划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制度落实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各项制度得到贯彻落实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运营考核合理、指标准确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安全培训、记录齐全准确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运营检查记录齐全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ISO认证或其他国家级管理认证（可选项）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ISO认证或其他国家级管理认证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作业现场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作业现场管理规范、标识清晰</w:t>
            </w:r>
          </w:p>
        </w:tc>
      </w:tr>
      <w:tr w:rsidR="00D310C2" w:rsidTr="00210424">
        <w:trPr>
          <w:jc w:val="center"/>
        </w:trPr>
        <w:tc>
          <w:tcPr>
            <w:tcW w:w="1273" w:type="dxa"/>
            <w:gridSpan w:val="2"/>
            <w:vMerge w:val="restart"/>
            <w:shd w:val="clear" w:color="auto" w:fill="auto"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信息化水平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251DEA"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有完善的信息管理系统或使用客户的信息管理系统、使用仓储信息平台管理系统</w:t>
            </w:r>
          </w:p>
        </w:tc>
      </w:tr>
      <w:tr w:rsidR="00D310C2" w:rsidTr="00210424">
        <w:trPr>
          <w:jc w:val="center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251DEA"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使用电子单证管理</w:t>
            </w:r>
          </w:p>
        </w:tc>
      </w:tr>
      <w:tr w:rsidR="00D310C2" w:rsidTr="00210424">
        <w:trPr>
          <w:jc w:val="center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251DEA"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可提供信息查询</w:t>
            </w:r>
          </w:p>
        </w:tc>
      </w:tr>
      <w:tr w:rsidR="00D310C2" w:rsidTr="00210424">
        <w:trPr>
          <w:jc w:val="center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251DEA"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可以与客户系统对接</w:t>
            </w:r>
          </w:p>
        </w:tc>
      </w:tr>
      <w:tr w:rsidR="00D310C2" w:rsidTr="00210424">
        <w:trPr>
          <w:jc w:val="center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245A11"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可以提供数据交换</w:t>
            </w:r>
          </w:p>
        </w:tc>
      </w:tr>
      <w:tr w:rsidR="00D310C2" w:rsidTr="00210424">
        <w:trPr>
          <w:jc w:val="center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245A11"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库内有无线网络支持信息上传</w:t>
            </w:r>
          </w:p>
        </w:tc>
      </w:tr>
      <w:tr w:rsidR="00D310C2" w:rsidTr="00210424">
        <w:trPr>
          <w:jc w:val="center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245A11"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使用扫码或者使用RFID进出货物管理</w:t>
            </w:r>
          </w:p>
        </w:tc>
      </w:tr>
      <w:tr w:rsidR="00D310C2" w:rsidTr="00210424">
        <w:trPr>
          <w:jc w:val="center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0C2" w:rsidRPr="001B5825" w:rsidRDefault="005D3CD8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有可视化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监控系统</w:t>
            </w:r>
            <w:r w:rsidR="00D310C2" w:rsidRPr="001B5825">
              <w:rPr>
                <w:rFonts w:asciiTheme="minorEastAsia" w:eastAsiaTheme="minorEastAsia" w:hAnsiTheme="minorEastAsia" w:hint="eastAsia"/>
                <w:szCs w:val="18"/>
              </w:rPr>
              <w:t>（可选项）</w:t>
            </w:r>
          </w:p>
        </w:tc>
      </w:tr>
      <w:tr w:rsidR="00D310C2" w:rsidTr="00210424">
        <w:trPr>
          <w:jc w:val="center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D310C2" w:rsidRPr="001B5825" w:rsidRDefault="00D310C2" w:rsidP="00030FB7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>
              <w:rPr>
                <w:rFonts w:ascii="等线" w:eastAsia="等线" w:hAnsi="等线" w:hint="eastAsia"/>
                <w:szCs w:val="18"/>
              </w:rPr>
              <w:t>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有一定自动分拣能力（可选项）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人员素质</w:t>
            </w:r>
          </w:p>
        </w:tc>
        <w:tc>
          <w:tcPr>
            <w:tcW w:w="637" w:type="dxa"/>
            <w:vMerge w:val="restart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管</w:t>
            </w:r>
          </w:p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理</w:t>
            </w:r>
          </w:p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层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管理人员经过</w:t>
            </w:r>
            <w:r w:rsidRPr="008E48A4">
              <w:rPr>
                <w:rFonts w:asciiTheme="minorEastAsia" w:eastAsiaTheme="minorEastAsia" w:hAnsiTheme="minorEastAsia" w:hint="eastAsia"/>
                <w:szCs w:val="18"/>
              </w:rPr>
              <w:t>仓储专业</w:t>
            </w:r>
            <w:r w:rsidRPr="001B5825">
              <w:rPr>
                <w:rFonts w:asciiTheme="minorEastAsia" w:eastAsiaTheme="minorEastAsia" w:hAnsiTheme="minorEastAsia" w:hint="eastAsia"/>
                <w:szCs w:val="18"/>
              </w:rPr>
              <w:t>培训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管理人员大专以上30%或经过专业培训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管理层大专以上文化程度达50%或中级职称、行业认可的职业资质达60%以上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管理层</w:t>
            </w:r>
            <w:r w:rsidRPr="008E48A4">
              <w:rPr>
                <w:rFonts w:asciiTheme="minorEastAsia" w:eastAsiaTheme="minorEastAsia" w:hAnsiTheme="minorEastAsia" w:hint="eastAsia"/>
                <w:szCs w:val="18"/>
              </w:rPr>
              <w:t>大专</w:t>
            </w: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以上文化程度达60%或中级职称、行业认可的职业资质达70%以上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管理层大专以上文化程度达70%或中级职称、行业认可的职业资质达80%以上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操作人员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一线操作人员经过企业内部或外部专业培训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一线操作人员执证上岗率50%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一线操作人员执证上岗率60%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一线操作人员执证上岗率70%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C2" w:rsidRPr="001B5825" w:rsidRDefault="00D310C2" w:rsidP="00D072B2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一线操作人员执证上岗率80%</w:t>
            </w:r>
          </w:p>
        </w:tc>
      </w:tr>
      <w:tr w:rsidR="00D310C2" w:rsidTr="00210424">
        <w:trPr>
          <w:jc w:val="center"/>
        </w:trPr>
        <w:tc>
          <w:tcPr>
            <w:tcW w:w="63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37" w:type="dxa"/>
            <w:vMerge/>
            <w:tcBorders>
              <w:bottom w:val="single" w:sz="8" w:space="0" w:color="auto"/>
            </w:tcBorders>
          </w:tcPr>
          <w:p w:rsidR="00D310C2" w:rsidRPr="001B5825" w:rsidRDefault="00D310C2" w:rsidP="003C0383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10C2" w:rsidRPr="001B5825" w:rsidRDefault="00D310C2" w:rsidP="00210424">
            <w:pPr>
              <w:adjustRightInd w:val="0"/>
              <w:snapToGrid w:val="0"/>
              <w:spacing w:line="300" w:lineRule="exact"/>
              <w:contextualSpacing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特殊岗位及特种设备作业人员</w:t>
            </w:r>
            <w:r w:rsidR="00D766ED" w:rsidRPr="0089702B">
              <w:rPr>
                <w:rFonts w:asciiTheme="minorEastAsia" w:eastAsiaTheme="minorEastAsia" w:hAnsiTheme="minorEastAsia" w:hint="eastAsia"/>
                <w:szCs w:val="18"/>
              </w:rPr>
              <w:t>须取得国家相关部门核发的证书</w:t>
            </w:r>
          </w:p>
        </w:tc>
      </w:tr>
    </w:tbl>
    <w:p w:rsidR="00093F59" w:rsidRPr="00093F59" w:rsidRDefault="00093F59" w:rsidP="00093F59">
      <w:pPr>
        <w:pStyle w:val="a2"/>
        <w:numPr>
          <w:ilvl w:val="0"/>
          <w:numId w:val="0"/>
        </w:numPr>
        <w:spacing w:before="156" w:after="156"/>
      </w:pPr>
    </w:p>
    <w:p w:rsidR="0020163C" w:rsidRDefault="0020163C" w:rsidP="004C5910">
      <w:pPr>
        <w:pStyle w:val="a2"/>
        <w:spacing w:before="156" w:after="156"/>
      </w:pPr>
      <w:r>
        <w:rPr>
          <w:rFonts w:hint="eastAsia"/>
        </w:rPr>
        <w:t>仓库租赁企业仓库</w:t>
      </w:r>
    </w:p>
    <w:p w:rsidR="0020163C" w:rsidRDefault="0020163C" w:rsidP="004C5910">
      <w:pPr>
        <w:pStyle w:val="aff6"/>
      </w:pPr>
      <w:r>
        <w:rPr>
          <w:rFonts w:hint="eastAsia"/>
        </w:rPr>
        <w:t>仓库租赁企业仓库</w:t>
      </w:r>
      <w:r w:rsidRPr="00D67807">
        <w:rPr>
          <w:rFonts w:hint="eastAsia"/>
        </w:rPr>
        <w:t>等级划分条件和要求</w:t>
      </w:r>
      <w:r>
        <w:rPr>
          <w:rFonts w:hint="eastAsia"/>
        </w:rPr>
        <w:t>见表2。</w:t>
      </w:r>
    </w:p>
    <w:p w:rsidR="005D3CD8" w:rsidRDefault="005D3CD8" w:rsidP="00525C46">
      <w:pPr>
        <w:pStyle w:val="aff6"/>
        <w:ind w:firstLineChars="0" w:firstLine="0"/>
      </w:pPr>
    </w:p>
    <w:p w:rsidR="0020163C" w:rsidRDefault="0020163C" w:rsidP="004C5910">
      <w:pPr>
        <w:pStyle w:val="af7"/>
        <w:spacing w:before="156" w:after="156"/>
      </w:pPr>
      <w:r>
        <w:rPr>
          <w:rFonts w:hint="eastAsia"/>
        </w:rPr>
        <w:lastRenderedPageBreak/>
        <w:t>仓库租赁企业仓库</w:t>
      </w:r>
      <w:r w:rsidRPr="00D67807">
        <w:rPr>
          <w:rFonts w:hint="eastAsia"/>
        </w:rPr>
        <w:t>等级划分条件和要求</w:t>
      </w:r>
    </w:p>
    <w:tbl>
      <w:tblPr>
        <w:tblStyle w:val="afffffa"/>
        <w:tblW w:w="99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956"/>
        <w:gridCol w:w="954"/>
        <w:gridCol w:w="2685"/>
        <w:gridCol w:w="2685"/>
        <w:gridCol w:w="2685"/>
      </w:tblGrid>
      <w:tr w:rsidR="0020163C" w:rsidTr="00093F59">
        <w:trPr>
          <w:jc w:val="center"/>
        </w:trPr>
        <w:tc>
          <w:tcPr>
            <w:tcW w:w="191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划分指标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仓库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等级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项目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8" w:space="0" w:color="auto"/>
            </w:tcBorders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类别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三星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四星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五星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设施设备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</w:tcBorders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仓库</w:t>
            </w:r>
          </w:p>
        </w:tc>
        <w:tc>
          <w:tcPr>
            <w:tcW w:w="2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163C" w:rsidRPr="00803FAA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库区仓库总面积10000㎡以上</w:t>
            </w:r>
          </w:p>
        </w:tc>
        <w:tc>
          <w:tcPr>
            <w:tcW w:w="2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163C" w:rsidRPr="00803FAA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库区仓库总面积20000㎡以上</w:t>
            </w:r>
          </w:p>
        </w:tc>
        <w:tc>
          <w:tcPr>
            <w:tcW w:w="2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163C" w:rsidRPr="00803FAA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库区仓库总面积30000㎡以上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03FAA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高架仓库比例100%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03FAA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仓库有装卸站台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03FAA" w:rsidRDefault="005E712F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1B5825">
              <w:rPr>
                <w:rFonts w:asciiTheme="minorEastAsia" w:eastAsiaTheme="minorEastAsia" w:hAnsiTheme="minorEastAsia" w:hint="eastAsia"/>
                <w:szCs w:val="18"/>
              </w:rPr>
              <w:t>装卸站台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设有</w:t>
            </w:r>
            <w:r w:rsidRPr="001B5825">
              <w:rPr>
                <w:rFonts w:asciiTheme="minorEastAsia" w:eastAsiaTheme="minorEastAsia" w:hAnsiTheme="minorEastAsia" w:hint="eastAsia"/>
                <w:szCs w:val="18"/>
              </w:rPr>
              <w:t>登车桥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03FAA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装卸站台有雨棚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20163C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库区</w:t>
            </w:r>
          </w:p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通道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库区通道硬化、作业区满足一般货运车辆通行及作业要求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库区通道及作业区能满足40ft集装箱卡车（或同类型车）作业要求，拥有与业务规模相适应的停车场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消防</w:t>
            </w: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有消防水池或消防水箱，配备满足要求的消防栓、消防器材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有</w:t>
            </w:r>
            <w:r w:rsidR="00F3042F">
              <w:rPr>
                <w:rFonts w:asciiTheme="minorEastAsia" w:eastAsiaTheme="minorEastAsia" w:hAnsiTheme="minorEastAsia" w:hint="eastAsia"/>
                <w:szCs w:val="18"/>
              </w:rPr>
              <w:t>火灾</w:t>
            </w:r>
            <w:r w:rsidRPr="0089702B">
              <w:rPr>
                <w:rFonts w:asciiTheme="minorEastAsia" w:eastAsiaTheme="minorEastAsia" w:hAnsiTheme="minorEastAsia" w:hint="eastAsia"/>
                <w:szCs w:val="18"/>
              </w:rPr>
              <w:t>自动报警</w:t>
            </w:r>
            <w:r w:rsidR="00F3042F">
              <w:rPr>
                <w:rFonts w:asciiTheme="minorEastAsia" w:eastAsiaTheme="minorEastAsia" w:hAnsiTheme="minorEastAsia" w:hint="eastAsia"/>
                <w:szCs w:val="18"/>
              </w:rPr>
              <w:t>系统</w:t>
            </w:r>
            <w:r w:rsidRPr="0089702B">
              <w:rPr>
                <w:rFonts w:asciiTheme="minorEastAsia" w:eastAsiaTheme="minorEastAsia" w:hAnsiTheme="minorEastAsia" w:hint="eastAsia"/>
                <w:szCs w:val="18"/>
              </w:rPr>
              <w:t>、</w:t>
            </w:r>
            <w:r w:rsidR="00F3042F">
              <w:rPr>
                <w:rFonts w:asciiTheme="minorEastAsia" w:eastAsiaTheme="minorEastAsia" w:hAnsiTheme="minorEastAsia" w:hint="eastAsia"/>
                <w:szCs w:val="18"/>
              </w:rPr>
              <w:t>自动</w:t>
            </w: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喷淋</w:t>
            </w:r>
            <w:r w:rsidR="00F3042F">
              <w:rPr>
                <w:rFonts w:asciiTheme="minorEastAsia" w:eastAsiaTheme="minorEastAsia" w:hAnsiTheme="minorEastAsia" w:hint="eastAsia"/>
                <w:szCs w:val="18"/>
              </w:rPr>
              <w:t>灭火系统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有消防验收报告或备案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其他</w:t>
            </w: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库区有可视化监控设备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有双路电配置或有备用发电机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─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用电子围栏管理库区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物业管理水平</w:t>
            </w:r>
          </w:p>
        </w:tc>
        <w:tc>
          <w:tcPr>
            <w:tcW w:w="954" w:type="dxa"/>
            <w:vMerge w:val="restart"/>
            <w:vAlign w:val="center"/>
          </w:tcPr>
          <w:p w:rsidR="0020163C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管理</w:t>
            </w:r>
          </w:p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制度</w:t>
            </w: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管理组织架构清晰</w:t>
            </w:r>
          </w:p>
        </w:tc>
      </w:tr>
      <w:tr w:rsidR="0020163C" w:rsidTr="00093F59">
        <w:trPr>
          <w:trHeight w:val="196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库区、库内安全与消防管理规范</w:t>
            </w:r>
          </w:p>
        </w:tc>
      </w:tr>
      <w:tr w:rsidR="0020163C" w:rsidTr="00093F59">
        <w:trPr>
          <w:trHeight w:val="196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库区管理制度健全</w:t>
            </w:r>
          </w:p>
        </w:tc>
      </w:tr>
      <w:tr w:rsidR="0020163C" w:rsidTr="00093F59">
        <w:trPr>
          <w:trHeight w:val="196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有培训计划、培训记录</w:t>
            </w:r>
          </w:p>
        </w:tc>
      </w:tr>
      <w:tr w:rsidR="0020163C" w:rsidTr="00093F59">
        <w:trPr>
          <w:trHeight w:val="196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20163C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制度</w:t>
            </w:r>
          </w:p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落实</w:t>
            </w: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各项制度得到贯彻落实</w:t>
            </w:r>
          </w:p>
        </w:tc>
      </w:tr>
      <w:tr w:rsidR="0020163C" w:rsidTr="00093F59">
        <w:trPr>
          <w:trHeight w:val="196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bookmarkStart w:id="28" w:name="_Hlk46400615"/>
            <w:r w:rsidRPr="0089702B">
              <w:rPr>
                <w:rFonts w:asciiTheme="minorEastAsia" w:eastAsiaTheme="minorEastAsia" w:hAnsiTheme="minorEastAsia" w:hint="eastAsia"/>
                <w:szCs w:val="18"/>
              </w:rPr>
              <w:t>检查记录齐全准确</w:t>
            </w:r>
            <w:bookmarkEnd w:id="28"/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人员岗位配备齐全，满足需求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D766ED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特殊岗位及特种设备作业人员须取得国家相关部门核发的证书</w:t>
            </w:r>
          </w:p>
        </w:tc>
      </w:tr>
      <w:tr w:rsidR="0020163C" w:rsidTr="00210424">
        <w:trPr>
          <w:trHeight w:val="309"/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─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管理单位通过ISO认证或其他国家级管理认证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20163C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作业</w:t>
            </w:r>
          </w:p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现场</w:t>
            </w: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库区各类标识完整、清晰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库区设施设备整齐、功能分区合理、环境清洁</w:t>
            </w:r>
          </w:p>
        </w:tc>
      </w:tr>
      <w:tr w:rsidR="0020163C" w:rsidTr="00093F59">
        <w:trPr>
          <w:jc w:val="center"/>
        </w:trPr>
        <w:tc>
          <w:tcPr>
            <w:tcW w:w="956" w:type="dxa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配套设施用房管理规范</w:t>
            </w:r>
          </w:p>
        </w:tc>
      </w:tr>
      <w:tr w:rsidR="0020163C" w:rsidTr="00093F59">
        <w:trPr>
          <w:jc w:val="center"/>
        </w:trPr>
        <w:tc>
          <w:tcPr>
            <w:tcW w:w="1910" w:type="dxa"/>
            <w:gridSpan w:val="2"/>
            <w:vMerge w:val="restart"/>
            <w:shd w:val="clear" w:color="auto" w:fill="auto"/>
            <w:vAlign w:val="center"/>
          </w:tcPr>
          <w:p w:rsidR="0020163C" w:rsidRPr="00803FAA" w:rsidRDefault="00D76D9F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信息化水平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20163C" w:rsidRPr="0089702B" w:rsidRDefault="0020163C" w:rsidP="00210424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─</w:t>
            </w:r>
          </w:p>
        </w:tc>
        <w:tc>
          <w:tcPr>
            <w:tcW w:w="5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63C" w:rsidRPr="0089702B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9702B">
              <w:rPr>
                <w:rFonts w:asciiTheme="minorEastAsia" w:eastAsiaTheme="minorEastAsia" w:hAnsiTheme="minorEastAsia" w:hint="eastAsia"/>
                <w:szCs w:val="18"/>
              </w:rPr>
              <w:t>库区进出车辆使用系统管理</w:t>
            </w:r>
          </w:p>
        </w:tc>
      </w:tr>
      <w:tr w:rsidR="0020163C" w:rsidTr="00093F59">
        <w:trPr>
          <w:jc w:val="center"/>
        </w:trPr>
        <w:tc>
          <w:tcPr>
            <w:tcW w:w="1910" w:type="dxa"/>
            <w:gridSpan w:val="2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63C" w:rsidRPr="00803FAA" w:rsidRDefault="0020163C" w:rsidP="00210424">
            <w:pPr>
              <w:spacing w:line="30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D310C2">
              <w:rPr>
                <w:rFonts w:asciiTheme="minorEastAsia" w:eastAsiaTheme="minorEastAsia" w:hAnsiTheme="minorEastAsia" w:hint="eastAsia"/>
                <w:szCs w:val="18"/>
              </w:rPr>
              <w:t>─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63C" w:rsidRPr="00803FAA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库区</w:t>
            </w:r>
            <w:r w:rsidRPr="00803FAA">
              <w:rPr>
                <w:rFonts w:asciiTheme="minorEastAsia" w:eastAsiaTheme="minorEastAsia" w:hAnsiTheme="minorEastAsia" w:hint="eastAsia"/>
                <w:szCs w:val="18"/>
              </w:rPr>
              <w:t>进出人员使用系统管理</w:t>
            </w:r>
          </w:p>
        </w:tc>
      </w:tr>
      <w:tr w:rsidR="0020163C" w:rsidTr="00093F59">
        <w:trPr>
          <w:jc w:val="center"/>
        </w:trPr>
        <w:tc>
          <w:tcPr>
            <w:tcW w:w="1910" w:type="dxa"/>
            <w:gridSpan w:val="2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63C" w:rsidRPr="00803FAA" w:rsidRDefault="0020163C" w:rsidP="00210424">
            <w:pPr>
              <w:spacing w:line="30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18"/>
              </w:rPr>
            </w:pPr>
            <w:r w:rsidRPr="00D310C2">
              <w:rPr>
                <w:rFonts w:asciiTheme="minorEastAsia" w:eastAsiaTheme="minorEastAsia" w:hAnsiTheme="minorEastAsia" w:hint="eastAsia"/>
                <w:szCs w:val="18"/>
              </w:rPr>
              <w:t>─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63C" w:rsidRPr="00803FAA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库区</w:t>
            </w:r>
            <w:r w:rsidRPr="00803FAA">
              <w:rPr>
                <w:rFonts w:asciiTheme="minorEastAsia" w:eastAsiaTheme="minorEastAsia" w:hAnsiTheme="minorEastAsia" w:hint="eastAsia"/>
                <w:szCs w:val="18"/>
              </w:rPr>
              <w:t>、仓库检查使用系统管理</w:t>
            </w:r>
          </w:p>
        </w:tc>
      </w:tr>
      <w:tr w:rsidR="0020163C" w:rsidTr="00093F59">
        <w:trPr>
          <w:trHeight w:val="336"/>
          <w:jc w:val="center"/>
        </w:trPr>
        <w:tc>
          <w:tcPr>
            <w:tcW w:w="1910" w:type="dxa"/>
            <w:gridSpan w:val="2"/>
            <w:vMerge/>
            <w:shd w:val="clear" w:color="auto" w:fill="auto"/>
            <w:vAlign w:val="center"/>
          </w:tcPr>
          <w:p w:rsidR="0020163C" w:rsidRPr="00803FAA" w:rsidRDefault="0020163C" w:rsidP="00093F5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055" w:type="dxa"/>
            <w:gridSpan w:val="3"/>
            <w:shd w:val="clear" w:color="auto" w:fill="auto"/>
            <w:vAlign w:val="center"/>
          </w:tcPr>
          <w:p w:rsidR="0020163C" w:rsidRPr="00803FAA" w:rsidRDefault="0020163C" w:rsidP="00210424">
            <w:pPr>
              <w:spacing w:line="300" w:lineRule="atLeas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803FAA">
              <w:rPr>
                <w:rFonts w:asciiTheme="minorEastAsia" w:eastAsiaTheme="minorEastAsia" w:hAnsiTheme="minorEastAsia" w:hint="eastAsia"/>
                <w:szCs w:val="18"/>
              </w:rPr>
              <w:t>有可视化</w:t>
            </w:r>
            <w:r w:rsidR="00D76D9F">
              <w:rPr>
                <w:rFonts w:asciiTheme="minorEastAsia" w:eastAsiaTheme="minorEastAsia" w:hAnsiTheme="minorEastAsia" w:hint="eastAsia"/>
                <w:szCs w:val="18"/>
              </w:rPr>
              <w:t>监控</w:t>
            </w:r>
            <w:r w:rsidR="005C0EB7">
              <w:rPr>
                <w:rFonts w:asciiTheme="minorEastAsia" w:eastAsiaTheme="minorEastAsia" w:hAnsiTheme="minorEastAsia" w:hint="eastAsia"/>
                <w:szCs w:val="18"/>
              </w:rPr>
              <w:t>系统</w:t>
            </w:r>
          </w:p>
        </w:tc>
      </w:tr>
    </w:tbl>
    <w:p w:rsidR="0020163C" w:rsidRPr="0020163C" w:rsidRDefault="0020163C" w:rsidP="0020163C">
      <w:pPr>
        <w:pStyle w:val="aff6"/>
      </w:pPr>
    </w:p>
    <w:p w:rsidR="00DF5CC9" w:rsidRPr="0020163C" w:rsidRDefault="0020163C" w:rsidP="0020163C">
      <w:pPr>
        <w:pStyle w:val="affffff4"/>
        <w:framePr w:wrap="around"/>
      </w:pPr>
      <w:r>
        <w:t>_________________________________</w:t>
      </w:r>
    </w:p>
    <w:sectPr w:rsidR="00DF5CC9" w:rsidRPr="0020163C" w:rsidSect="007120D6">
      <w:pgSz w:w="11906" w:h="16838" w:code="9"/>
      <w:pgMar w:top="567" w:right="1134" w:bottom="1134" w:left="1418" w:header="1134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13" w:rsidRDefault="00F47213">
      <w:r>
        <w:separator/>
      </w:r>
    </w:p>
  </w:endnote>
  <w:endnote w:type="continuationSeparator" w:id="1">
    <w:p w:rsidR="00F47213" w:rsidRDefault="00F4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59" w:rsidRDefault="00423BD7" w:rsidP="0020163C">
    <w:pPr>
      <w:pStyle w:val="aff7"/>
    </w:pPr>
    <w:r>
      <w:fldChar w:fldCharType="begin"/>
    </w:r>
    <w:r w:rsidR="00093F59">
      <w:instrText xml:space="preserve"> PAGE  \* MERGEFORMAT </w:instrText>
    </w:r>
    <w:r>
      <w:fldChar w:fldCharType="separate"/>
    </w:r>
    <w:r w:rsidR="00DC7BB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13" w:rsidRDefault="00F47213">
      <w:r>
        <w:separator/>
      </w:r>
    </w:p>
  </w:footnote>
  <w:footnote w:type="continuationSeparator" w:id="1">
    <w:p w:rsidR="00F47213" w:rsidRDefault="00F47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59" w:rsidRPr="0020163C" w:rsidRDefault="007120D6">
    <w:pPr>
      <w:pStyle w:val="affc"/>
      <w:rPr>
        <w:rFonts w:ascii="黑体" w:eastAsia="黑体" w:hAnsi="黑体"/>
      </w:rPr>
    </w:pPr>
    <w:r>
      <w:rPr>
        <w:rFonts w:ascii="黑体" w:eastAsia="黑体" w:hAnsi="黑体"/>
      </w:rPr>
      <w:t>]</w:t>
    </w:r>
    <w:r w:rsidR="00093F59">
      <w:rPr>
        <w:rFonts w:ascii="黑体" w:eastAsia="黑体" w:hAnsi="黑体"/>
      </w:rPr>
      <w:t>GB/T ×××××—××××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0FB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C5C34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E0EF3C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3D467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28F28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BCCD0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7A8AF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A2485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00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78C4B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952887"/>
    <w:multiLevelType w:val="multilevel"/>
    <w:tmpl w:val="448659B0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1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2">
    <w:nsid w:val="1DBF583A"/>
    <w:multiLevelType w:val="multilevel"/>
    <w:tmpl w:val="11B000D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3">
    <w:nsid w:val="1FC91163"/>
    <w:multiLevelType w:val="multilevel"/>
    <w:tmpl w:val="855EE140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4B435DB"/>
    <w:multiLevelType w:val="multilevel"/>
    <w:tmpl w:val="9B92BB8A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5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8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9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0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E63562F"/>
    <w:multiLevelType w:val="multilevel"/>
    <w:tmpl w:val="1DDCEE8C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3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4">
    <w:nsid w:val="63AF7EBF"/>
    <w:multiLevelType w:val="multilevel"/>
    <w:tmpl w:val="E3F4BDF4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6AB870ED"/>
    <w:multiLevelType w:val="multilevel"/>
    <w:tmpl w:val="DD022556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7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6"/>
  </w:num>
  <w:num w:numId="5">
    <w:abstractNumId w:val="25"/>
  </w:num>
  <w:num w:numId="6">
    <w:abstractNumId w:val="27"/>
  </w:num>
  <w:num w:numId="7">
    <w:abstractNumId w:val="18"/>
  </w:num>
  <w:num w:numId="8">
    <w:abstractNumId w:val="19"/>
  </w:num>
  <w:num w:numId="9">
    <w:abstractNumId w:val="13"/>
  </w:num>
  <w:num w:numId="10">
    <w:abstractNumId w:val="24"/>
  </w:num>
  <w:num w:numId="11">
    <w:abstractNumId w:val="20"/>
  </w:num>
  <w:num w:numId="12">
    <w:abstractNumId w:val="23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4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0BB3"/>
    <w:rsid w:val="0000185F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30FB7"/>
    <w:rsid w:val="000320A7"/>
    <w:rsid w:val="000325EA"/>
    <w:rsid w:val="00032678"/>
    <w:rsid w:val="00035925"/>
    <w:rsid w:val="00036C2C"/>
    <w:rsid w:val="00045A7C"/>
    <w:rsid w:val="00055371"/>
    <w:rsid w:val="00056A24"/>
    <w:rsid w:val="0005743C"/>
    <w:rsid w:val="00057CE5"/>
    <w:rsid w:val="000607A3"/>
    <w:rsid w:val="000657F7"/>
    <w:rsid w:val="00067CDF"/>
    <w:rsid w:val="00074FBE"/>
    <w:rsid w:val="0007762A"/>
    <w:rsid w:val="00081F6E"/>
    <w:rsid w:val="00083A09"/>
    <w:rsid w:val="0009005E"/>
    <w:rsid w:val="000918A9"/>
    <w:rsid w:val="00092001"/>
    <w:rsid w:val="00092618"/>
    <w:rsid w:val="00092857"/>
    <w:rsid w:val="00092BD8"/>
    <w:rsid w:val="00093F59"/>
    <w:rsid w:val="000964C7"/>
    <w:rsid w:val="000973DE"/>
    <w:rsid w:val="000979D9"/>
    <w:rsid w:val="000A20A9"/>
    <w:rsid w:val="000A3FDA"/>
    <w:rsid w:val="000A48B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E338C"/>
    <w:rsid w:val="000F030C"/>
    <w:rsid w:val="000F129C"/>
    <w:rsid w:val="000F174F"/>
    <w:rsid w:val="000F7F69"/>
    <w:rsid w:val="00104E29"/>
    <w:rsid w:val="001056DE"/>
    <w:rsid w:val="001124C0"/>
    <w:rsid w:val="00117A25"/>
    <w:rsid w:val="00121293"/>
    <w:rsid w:val="001268C0"/>
    <w:rsid w:val="0013175F"/>
    <w:rsid w:val="0013364D"/>
    <w:rsid w:val="001343BB"/>
    <w:rsid w:val="00140876"/>
    <w:rsid w:val="001512B4"/>
    <w:rsid w:val="00153A26"/>
    <w:rsid w:val="001620A5"/>
    <w:rsid w:val="00164E53"/>
    <w:rsid w:val="00165D35"/>
    <w:rsid w:val="0016699D"/>
    <w:rsid w:val="001670D9"/>
    <w:rsid w:val="00175159"/>
    <w:rsid w:val="00175AD7"/>
    <w:rsid w:val="00176208"/>
    <w:rsid w:val="0017780C"/>
    <w:rsid w:val="001813B2"/>
    <w:rsid w:val="0018211B"/>
    <w:rsid w:val="001824DF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B36ED"/>
    <w:rsid w:val="001B6DC2"/>
    <w:rsid w:val="001B754B"/>
    <w:rsid w:val="001C149C"/>
    <w:rsid w:val="001C21AC"/>
    <w:rsid w:val="001C3689"/>
    <w:rsid w:val="001C47BA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2153"/>
    <w:rsid w:val="001F3A19"/>
    <w:rsid w:val="002009E4"/>
    <w:rsid w:val="00201053"/>
    <w:rsid w:val="0020163C"/>
    <w:rsid w:val="0020251B"/>
    <w:rsid w:val="002036E6"/>
    <w:rsid w:val="002073D3"/>
    <w:rsid w:val="00210424"/>
    <w:rsid w:val="00215D48"/>
    <w:rsid w:val="0021624B"/>
    <w:rsid w:val="0022185E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778AE"/>
    <w:rsid w:val="0028269A"/>
    <w:rsid w:val="00283590"/>
    <w:rsid w:val="00286973"/>
    <w:rsid w:val="00287674"/>
    <w:rsid w:val="0029064D"/>
    <w:rsid w:val="002938A4"/>
    <w:rsid w:val="00294E70"/>
    <w:rsid w:val="002954B8"/>
    <w:rsid w:val="002967B2"/>
    <w:rsid w:val="002A1924"/>
    <w:rsid w:val="002A4A8C"/>
    <w:rsid w:val="002A7420"/>
    <w:rsid w:val="002A7A7E"/>
    <w:rsid w:val="002B0F12"/>
    <w:rsid w:val="002B1308"/>
    <w:rsid w:val="002B4554"/>
    <w:rsid w:val="002B707C"/>
    <w:rsid w:val="002C72D8"/>
    <w:rsid w:val="002D11FA"/>
    <w:rsid w:val="002D17BC"/>
    <w:rsid w:val="002D19A4"/>
    <w:rsid w:val="002D6352"/>
    <w:rsid w:val="002E067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300204"/>
    <w:rsid w:val="00301F39"/>
    <w:rsid w:val="00303D27"/>
    <w:rsid w:val="00303F64"/>
    <w:rsid w:val="00305BEE"/>
    <w:rsid w:val="00313962"/>
    <w:rsid w:val="003234E0"/>
    <w:rsid w:val="00325926"/>
    <w:rsid w:val="00327A8A"/>
    <w:rsid w:val="003339A3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85A"/>
    <w:rsid w:val="003609D2"/>
    <w:rsid w:val="00363F22"/>
    <w:rsid w:val="00364940"/>
    <w:rsid w:val="00375564"/>
    <w:rsid w:val="00376489"/>
    <w:rsid w:val="00383191"/>
    <w:rsid w:val="00386DED"/>
    <w:rsid w:val="003912E7"/>
    <w:rsid w:val="00393947"/>
    <w:rsid w:val="00395141"/>
    <w:rsid w:val="003A0E27"/>
    <w:rsid w:val="003A2275"/>
    <w:rsid w:val="003A6A4F"/>
    <w:rsid w:val="003A7088"/>
    <w:rsid w:val="003B00DF"/>
    <w:rsid w:val="003B1275"/>
    <w:rsid w:val="003B1778"/>
    <w:rsid w:val="003C11CB"/>
    <w:rsid w:val="003C3017"/>
    <w:rsid w:val="003C6A77"/>
    <w:rsid w:val="003C75F3"/>
    <w:rsid w:val="003C78A3"/>
    <w:rsid w:val="003D36AB"/>
    <w:rsid w:val="003E1867"/>
    <w:rsid w:val="003E5729"/>
    <w:rsid w:val="003E724E"/>
    <w:rsid w:val="003F1D40"/>
    <w:rsid w:val="003F22BB"/>
    <w:rsid w:val="003F2A5B"/>
    <w:rsid w:val="003F4EE0"/>
    <w:rsid w:val="003F5559"/>
    <w:rsid w:val="003F7E6C"/>
    <w:rsid w:val="00400473"/>
    <w:rsid w:val="00401B71"/>
    <w:rsid w:val="00402153"/>
    <w:rsid w:val="00402E26"/>
    <w:rsid w:val="00402FC1"/>
    <w:rsid w:val="00410D9A"/>
    <w:rsid w:val="004200D9"/>
    <w:rsid w:val="00423BD7"/>
    <w:rsid w:val="00425082"/>
    <w:rsid w:val="00431DEB"/>
    <w:rsid w:val="0044259D"/>
    <w:rsid w:val="004439D9"/>
    <w:rsid w:val="00446B29"/>
    <w:rsid w:val="004524BE"/>
    <w:rsid w:val="00453F9A"/>
    <w:rsid w:val="00454CC3"/>
    <w:rsid w:val="00456FF4"/>
    <w:rsid w:val="00464903"/>
    <w:rsid w:val="004709B2"/>
    <w:rsid w:val="00471E91"/>
    <w:rsid w:val="00474079"/>
    <w:rsid w:val="00474675"/>
    <w:rsid w:val="0047470C"/>
    <w:rsid w:val="00484C88"/>
    <w:rsid w:val="004948D5"/>
    <w:rsid w:val="004A203E"/>
    <w:rsid w:val="004A35F9"/>
    <w:rsid w:val="004A4662"/>
    <w:rsid w:val="004A7E02"/>
    <w:rsid w:val="004B157A"/>
    <w:rsid w:val="004B24C1"/>
    <w:rsid w:val="004B3092"/>
    <w:rsid w:val="004B49B1"/>
    <w:rsid w:val="004B557C"/>
    <w:rsid w:val="004C292F"/>
    <w:rsid w:val="004C5910"/>
    <w:rsid w:val="004C657F"/>
    <w:rsid w:val="004D306F"/>
    <w:rsid w:val="004D4B02"/>
    <w:rsid w:val="004D4F76"/>
    <w:rsid w:val="004E4B13"/>
    <w:rsid w:val="004E4B8C"/>
    <w:rsid w:val="004E5A47"/>
    <w:rsid w:val="004E6DF6"/>
    <w:rsid w:val="005036E2"/>
    <w:rsid w:val="00503905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25C46"/>
    <w:rsid w:val="00534C02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62CF6"/>
    <w:rsid w:val="0056534C"/>
    <w:rsid w:val="0056544B"/>
    <w:rsid w:val="00567177"/>
    <w:rsid w:val="005703DE"/>
    <w:rsid w:val="005710BC"/>
    <w:rsid w:val="005755F1"/>
    <w:rsid w:val="00581837"/>
    <w:rsid w:val="00582BBE"/>
    <w:rsid w:val="0058464E"/>
    <w:rsid w:val="0058650E"/>
    <w:rsid w:val="005A01CB"/>
    <w:rsid w:val="005A19A9"/>
    <w:rsid w:val="005A58FF"/>
    <w:rsid w:val="005A5EAF"/>
    <w:rsid w:val="005A6491"/>
    <w:rsid w:val="005A64C0"/>
    <w:rsid w:val="005B0016"/>
    <w:rsid w:val="005B1985"/>
    <w:rsid w:val="005B3C11"/>
    <w:rsid w:val="005C0EB7"/>
    <w:rsid w:val="005C1C28"/>
    <w:rsid w:val="005C1D29"/>
    <w:rsid w:val="005C43D0"/>
    <w:rsid w:val="005C6DB5"/>
    <w:rsid w:val="005D3842"/>
    <w:rsid w:val="005D3CD8"/>
    <w:rsid w:val="005E19E7"/>
    <w:rsid w:val="005E2392"/>
    <w:rsid w:val="005E712F"/>
    <w:rsid w:val="00601622"/>
    <w:rsid w:val="0060789B"/>
    <w:rsid w:val="0061037E"/>
    <w:rsid w:val="00613FAA"/>
    <w:rsid w:val="00616C36"/>
    <w:rsid w:val="0061716C"/>
    <w:rsid w:val="006171AF"/>
    <w:rsid w:val="00617868"/>
    <w:rsid w:val="006243A1"/>
    <w:rsid w:val="00626005"/>
    <w:rsid w:val="00632E56"/>
    <w:rsid w:val="00635CBA"/>
    <w:rsid w:val="00636EFC"/>
    <w:rsid w:val="0064338B"/>
    <w:rsid w:val="00643452"/>
    <w:rsid w:val="00646542"/>
    <w:rsid w:val="006504F4"/>
    <w:rsid w:val="0065366F"/>
    <w:rsid w:val="00654BC9"/>
    <w:rsid w:val="006552FD"/>
    <w:rsid w:val="00656F0B"/>
    <w:rsid w:val="00663733"/>
    <w:rsid w:val="00663AF3"/>
    <w:rsid w:val="00666B6C"/>
    <w:rsid w:val="00677B54"/>
    <w:rsid w:val="00682682"/>
    <w:rsid w:val="00682702"/>
    <w:rsid w:val="0068645D"/>
    <w:rsid w:val="00692368"/>
    <w:rsid w:val="00695192"/>
    <w:rsid w:val="006A15E4"/>
    <w:rsid w:val="006A2EBC"/>
    <w:rsid w:val="006A5EA0"/>
    <w:rsid w:val="006A783B"/>
    <w:rsid w:val="006A7B33"/>
    <w:rsid w:val="006B497F"/>
    <w:rsid w:val="006B4E13"/>
    <w:rsid w:val="006B75DD"/>
    <w:rsid w:val="006C047C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F0967"/>
    <w:rsid w:val="006F2274"/>
    <w:rsid w:val="006F64A0"/>
    <w:rsid w:val="0070038F"/>
    <w:rsid w:val="007027B1"/>
    <w:rsid w:val="0070286C"/>
    <w:rsid w:val="00704DF6"/>
    <w:rsid w:val="0070641D"/>
    <w:rsid w:val="0070651C"/>
    <w:rsid w:val="007120D6"/>
    <w:rsid w:val="007132A3"/>
    <w:rsid w:val="00716421"/>
    <w:rsid w:val="00721419"/>
    <w:rsid w:val="00724EFB"/>
    <w:rsid w:val="00726575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06CB"/>
    <w:rsid w:val="00761E8B"/>
    <w:rsid w:val="00763502"/>
    <w:rsid w:val="00780D66"/>
    <w:rsid w:val="00780DE2"/>
    <w:rsid w:val="007913AB"/>
    <w:rsid w:val="007914F7"/>
    <w:rsid w:val="00795C73"/>
    <w:rsid w:val="007A4809"/>
    <w:rsid w:val="007B1625"/>
    <w:rsid w:val="007B3F1F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D60"/>
    <w:rsid w:val="007E18F5"/>
    <w:rsid w:val="007E1980"/>
    <w:rsid w:val="007E4B76"/>
    <w:rsid w:val="007E5043"/>
    <w:rsid w:val="007E5EA8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B58"/>
    <w:rsid w:val="0085282E"/>
    <w:rsid w:val="0087198C"/>
    <w:rsid w:val="00872C1F"/>
    <w:rsid w:val="00873B42"/>
    <w:rsid w:val="00877CB0"/>
    <w:rsid w:val="008805AC"/>
    <w:rsid w:val="00880D1A"/>
    <w:rsid w:val="00884468"/>
    <w:rsid w:val="00885408"/>
    <w:rsid w:val="008856D8"/>
    <w:rsid w:val="00892E82"/>
    <w:rsid w:val="00893277"/>
    <w:rsid w:val="00895FA9"/>
    <w:rsid w:val="0089702B"/>
    <w:rsid w:val="008A1035"/>
    <w:rsid w:val="008A6E08"/>
    <w:rsid w:val="008A7718"/>
    <w:rsid w:val="008C0BE9"/>
    <w:rsid w:val="008C1B58"/>
    <w:rsid w:val="008C39AE"/>
    <w:rsid w:val="008C40DF"/>
    <w:rsid w:val="008C590D"/>
    <w:rsid w:val="008D447E"/>
    <w:rsid w:val="008D7566"/>
    <w:rsid w:val="008E031B"/>
    <w:rsid w:val="008E0560"/>
    <w:rsid w:val="008E2D8C"/>
    <w:rsid w:val="008E7029"/>
    <w:rsid w:val="008E7EF6"/>
    <w:rsid w:val="008F1F98"/>
    <w:rsid w:val="008F2340"/>
    <w:rsid w:val="008F2790"/>
    <w:rsid w:val="008F6758"/>
    <w:rsid w:val="009040DD"/>
    <w:rsid w:val="00905B47"/>
    <w:rsid w:val="0090690F"/>
    <w:rsid w:val="00911391"/>
    <w:rsid w:val="0091331C"/>
    <w:rsid w:val="009137BD"/>
    <w:rsid w:val="0091503D"/>
    <w:rsid w:val="00922800"/>
    <w:rsid w:val="009279DE"/>
    <w:rsid w:val="00927AB9"/>
    <w:rsid w:val="00927B37"/>
    <w:rsid w:val="00930116"/>
    <w:rsid w:val="00930625"/>
    <w:rsid w:val="009309A3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60D3"/>
    <w:rsid w:val="00977132"/>
    <w:rsid w:val="00981A4B"/>
    <w:rsid w:val="00982250"/>
    <w:rsid w:val="00982501"/>
    <w:rsid w:val="00982F2E"/>
    <w:rsid w:val="00983D33"/>
    <w:rsid w:val="00984358"/>
    <w:rsid w:val="009877D3"/>
    <w:rsid w:val="00992DBA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603A"/>
    <w:rsid w:val="009C2D0E"/>
    <w:rsid w:val="009C3DAC"/>
    <w:rsid w:val="009C42E0"/>
    <w:rsid w:val="009D3230"/>
    <w:rsid w:val="009D5362"/>
    <w:rsid w:val="009E1415"/>
    <w:rsid w:val="009E6116"/>
    <w:rsid w:val="009E7E25"/>
    <w:rsid w:val="00A02E43"/>
    <w:rsid w:val="00A05368"/>
    <w:rsid w:val="00A065F9"/>
    <w:rsid w:val="00A07011"/>
    <w:rsid w:val="00A07F34"/>
    <w:rsid w:val="00A22154"/>
    <w:rsid w:val="00A24058"/>
    <w:rsid w:val="00A25C38"/>
    <w:rsid w:val="00A2615D"/>
    <w:rsid w:val="00A35824"/>
    <w:rsid w:val="00A36BBE"/>
    <w:rsid w:val="00A37C20"/>
    <w:rsid w:val="00A40D9E"/>
    <w:rsid w:val="00A41DF7"/>
    <w:rsid w:val="00A420B1"/>
    <w:rsid w:val="00A4231A"/>
    <w:rsid w:val="00A42ECA"/>
    <w:rsid w:val="00A4307A"/>
    <w:rsid w:val="00A46DEF"/>
    <w:rsid w:val="00A47EBB"/>
    <w:rsid w:val="00A51CDD"/>
    <w:rsid w:val="00A563F8"/>
    <w:rsid w:val="00A56BBA"/>
    <w:rsid w:val="00A6730D"/>
    <w:rsid w:val="00A71625"/>
    <w:rsid w:val="00A71B9B"/>
    <w:rsid w:val="00A751C7"/>
    <w:rsid w:val="00A80008"/>
    <w:rsid w:val="00A84CE5"/>
    <w:rsid w:val="00A87844"/>
    <w:rsid w:val="00A9227B"/>
    <w:rsid w:val="00A97A55"/>
    <w:rsid w:val="00AA038C"/>
    <w:rsid w:val="00AA7A09"/>
    <w:rsid w:val="00AB3B50"/>
    <w:rsid w:val="00AC05B1"/>
    <w:rsid w:val="00AC450C"/>
    <w:rsid w:val="00AD340B"/>
    <w:rsid w:val="00AD356C"/>
    <w:rsid w:val="00AE2914"/>
    <w:rsid w:val="00AE6D15"/>
    <w:rsid w:val="00AE7023"/>
    <w:rsid w:val="00AE78AA"/>
    <w:rsid w:val="00AF0050"/>
    <w:rsid w:val="00AF0EF3"/>
    <w:rsid w:val="00AF1F49"/>
    <w:rsid w:val="00AF2D81"/>
    <w:rsid w:val="00AF709E"/>
    <w:rsid w:val="00B04182"/>
    <w:rsid w:val="00B05ECF"/>
    <w:rsid w:val="00B07AE3"/>
    <w:rsid w:val="00B11430"/>
    <w:rsid w:val="00B12A5D"/>
    <w:rsid w:val="00B242F4"/>
    <w:rsid w:val="00B2477A"/>
    <w:rsid w:val="00B24D1C"/>
    <w:rsid w:val="00B30072"/>
    <w:rsid w:val="00B30481"/>
    <w:rsid w:val="00B3228A"/>
    <w:rsid w:val="00B3312F"/>
    <w:rsid w:val="00B353EB"/>
    <w:rsid w:val="00B4016F"/>
    <w:rsid w:val="00B407AC"/>
    <w:rsid w:val="00B439C4"/>
    <w:rsid w:val="00B4535E"/>
    <w:rsid w:val="00B52A8C"/>
    <w:rsid w:val="00B536B8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A21F8"/>
    <w:rsid w:val="00BA2EBE"/>
    <w:rsid w:val="00BB0F28"/>
    <w:rsid w:val="00BB1C8A"/>
    <w:rsid w:val="00BB458A"/>
    <w:rsid w:val="00BB693F"/>
    <w:rsid w:val="00BB6C11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55CB"/>
    <w:rsid w:val="00BE7067"/>
    <w:rsid w:val="00BF3A76"/>
    <w:rsid w:val="00BF3BB2"/>
    <w:rsid w:val="00BF617A"/>
    <w:rsid w:val="00C0379D"/>
    <w:rsid w:val="00C03931"/>
    <w:rsid w:val="00C05FE3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57A9C"/>
    <w:rsid w:val="00C601D2"/>
    <w:rsid w:val="00C65BCC"/>
    <w:rsid w:val="00C66970"/>
    <w:rsid w:val="00C70A21"/>
    <w:rsid w:val="00C71F4D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B722E"/>
    <w:rsid w:val="00CC3E0C"/>
    <w:rsid w:val="00CC58D3"/>
    <w:rsid w:val="00CC784D"/>
    <w:rsid w:val="00CE7586"/>
    <w:rsid w:val="00CF1E15"/>
    <w:rsid w:val="00D00A8D"/>
    <w:rsid w:val="00D03268"/>
    <w:rsid w:val="00D0337B"/>
    <w:rsid w:val="00D072B2"/>
    <w:rsid w:val="00D07777"/>
    <w:rsid w:val="00D079B2"/>
    <w:rsid w:val="00D114E9"/>
    <w:rsid w:val="00D17CD8"/>
    <w:rsid w:val="00D2527C"/>
    <w:rsid w:val="00D310C2"/>
    <w:rsid w:val="00D313B3"/>
    <w:rsid w:val="00D35B8E"/>
    <w:rsid w:val="00D40F07"/>
    <w:rsid w:val="00D429C6"/>
    <w:rsid w:val="00D44682"/>
    <w:rsid w:val="00D47748"/>
    <w:rsid w:val="00D5178F"/>
    <w:rsid w:val="00D518DF"/>
    <w:rsid w:val="00D54CC3"/>
    <w:rsid w:val="00D6041A"/>
    <w:rsid w:val="00D61258"/>
    <w:rsid w:val="00D633EB"/>
    <w:rsid w:val="00D736AC"/>
    <w:rsid w:val="00D747AA"/>
    <w:rsid w:val="00D75A7E"/>
    <w:rsid w:val="00D766ED"/>
    <w:rsid w:val="00D76D9F"/>
    <w:rsid w:val="00D82FF7"/>
    <w:rsid w:val="00D84271"/>
    <w:rsid w:val="00D847FE"/>
    <w:rsid w:val="00D86B9C"/>
    <w:rsid w:val="00D900CD"/>
    <w:rsid w:val="00D90A39"/>
    <w:rsid w:val="00D964EA"/>
    <w:rsid w:val="00D966D0"/>
    <w:rsid w:val="00DA0C59"/>
    <w:rsid w:val="00DA1042"/>
    <w:rsid w:val="00DA3991"/>
    <w:rsid w:val="00DA72A1"/>
    <w:rsid w:val="00DA7F95"/>
    <w:rsid w:val="00DB01F1"/>
    <w:rsid w:val="00DB3222"/>
    <w:rsid w:val="00DB7E6C"/>
    <w:rsid w:val="00DC4F68"/>
    <w:rsid w:val="00DC64B0"/>
    <w:rsid w:val="00DC6B1E"/>
    <w:rsid w:val="00DC7BBC"/>
    <w:rsid w:val="00DD252A"/>
    <w:rsid w:val="00DD5949"/>
    <w:rsid w:val="00DD5A29"/>
    <w:rsid w:val="00DD5D9D"/>
    <w:rsid w:val="00DE35CB"/>
    <w:rsid w:val="00DF0EF0"/>
    <w:rsid w:val="00DF21E9"/>
    <w:rsid w:val="00DF22C7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21B55"/>
    <w:rsid w:val="00E221D3"/>
    <w:rsid w:val="00E24EB4"/>
    <w:rsid w:val="00E30635"/>
    <w:rsid w:val="00E320ED"/>
    <w:rsid w:val="00E33AFB"/>
    <w:rsid w:val="00E34218"/>
    <w:rsid w:val="00E4555B"/>
    <w:rsid w:val="00E46282"/>
    <w:rsid w:val="00E5216E"/>
    <w:rsid w:val="00E5529C"/>
    <w:rsid w:val="00E657C6"/>
    <w:rsid w:val="00E75D40"/>
    <w:rsid w:val="00E81965"/>
    <w:rsid w:val="00E81A88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E69E6"/>
    <w:rsid w:val="00EF2869"/>
    <w:rsid w:val="00F040E6"/>
    <w:rsid w:val="00F05D60"/>
    <w:rsid w:val="00F07224"/>
    <w:rsid w:val="00F07FD3"/>
    <w:rsid w:val="00F11BB5"/>
    <w:rsid w:val="00F1296C"/>
    <w:rsid w:val="00F1417B"/>
    <w:rsid w:val="00F1712D"/>
    <w:rsid w:val="00F17A17"/>
    <w:rsid w:val="00F208A0"/>
    <w:rsid w:val="00F20FF4"/>
    <w:rsid w:val="00F2115E"/>
    <w:rsid w:val="00F27B3D"/>
    <w:rsid w:val="00F3042F"/>
    <w:rsid w:val="00F30ABD"/>
    <w:rsid w:val="00F34B99"/>
    <w:rsid w:val="00F40B02"/>
    <w:rsid w:val="00F41E81"/>
    <w:rsid w:val="00F47213"/>
    <w:rsid w:val="00F51720"/>
    <w:rsid w:val="00F51CF2"/>
    <w:rsid w:val="00F52DAB"/>
    <w:rsid w:val="00F543F0"/>
    <w:rsid w:val="00F55E3E"/>
    <w:rsid w:val="00F57601"/>
    <w:rsid w:val="00F66A38"/>
    <w:rsid w:val="00F73F99"/>
    <w:rsid w:val="00F75F80"/>
    <w:rsid w:val="00F81D29"/>
    <w:rsid w:val="00F90BE5"/>
    <w:rsid w:val="00F91C4D"/>
    <w:rsid w:val="00F91E92"/>
    <w:rsid w:val="00F92FD9"/>
    <w:rsid w:val="00FA37B1"/>
    <w:rsid w:val="00FA3E0B"/>
    <w:rsid w:val="00FA5EF7"/>
    <w:rsid w:val="00FA6684"/>
    <w:rsid w:val="00FA731E"/>
    <w:rsid w:val="00FA7BD0"/>
    <w:rsid w:val="00FB1DCF"/>
    <w:rsid w:val="00FB2B38"/>
    <w:rsid w:val="00FB61CE"/>
    <w:rsid w:val="00FB7A07"/>
    <w:rsid w:val="00FC04CC"/>
    <w:rsid w:val="00FC2066"/>
    <w:rsid w:val="00FC6358"/>
    <w:rsid w:val="00FD1381"/>
    <w:rsid w:val="00FD320D"/>
    <w:rsid w:val="00FD69CE"/>
    <w:rsid w:val="00FE1B98"/>
    <w:rsid w:val="00FE23DE"/>
    <w:rsid w:val="00FF1801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3234E0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2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rsid w:val="004200D9"/>
    <w:pPr>
      <w:widowControl w:val="0"/>
      <w:numPr>
        <w:numId w:val="29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25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24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27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30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rsid w:val="00083A09"/>
    <w:pPr>
      <w:numPr>
        <w:numId w:val="11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1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b"/>
    <w:rsid w:val="0028269A"/>
    <w:pPr>
      <w:framePr w:wrap="around" w:y="4469"/>
    </w:pPr>
  </w:style>
  <w:style w:type="paragraph" w:customStyle="1" w:styleId="23">
    <w:name w:val="封面一致性程度标识2"/>
    <w:basedOn w:val="afffc"/>
    <w:rsid w:val="0028269A"/>
    <w:pPr>
      <w:framePr w:wrap="around" w:y="4469"/>
    </w:pPr>
  </w:style>
  <w:style w:type="paragraph" w:customStyle="1" w:styleId="24">
    <w:name w:val="封面标准文稿类别2"/>
    <w:basedOn w:val="afffd"/>
    <w:rsid w:val="0028269A"/>
    <w:pPr>
      <w:framePr w:wrap="around" w:y="4469"/>
    </w:pPr>
  </w:style>
  <w:style w:type="paragraph" w:customStyle="1" w:styleId="25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Char4"/>
    <w:rsid w:val="00B74441"/>
    <w:rPr>
      <w:sz w:val="18"/>
      <w:szCs w:val="18"/>
    </w:rPr>
  </w:style>
  <w:style w:type="character" w:customStyle="1" w:styleId="Char4">
    <w:name w:val="批注框文本 Char"/>
    <w:basedOn w:val="aff3"/>
    <w:link w:val="affffff9"/>
    <w:rsid w:val="00B744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8989F2-0355-49D4-BDA6-4D56B5D374C0}"/>
      </w:docPartPr>
      <w:docPartBody>
        <w:p w:rsidR="007C6ACB" w:rsidRDefault="00515A81" w:rsidP="00515A81">
          <w:pPr>
            <w:pStyle w:val="1112"/>
          </w:pPr>
          <w:r>
            <w:rPr>
              <w:rStyle w:val="a3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13A"/>
    <w:rsid w:val="0002647A"/>
    <w:rsid w:val="0002653F"/>
    <w:rsid w:val="00080DE3"/>
    <w:rsid w:val="00087E40"/>
    <w:rsid w:val="000C73CF"/>
    <w:rsid w:val="001132F9"/>
    <w:rsid w:val="00114ABC"/>
    <w:rsid w:val="001C16E0"/>
    <w:rsid w:val="001D395D"/>
    <w:rsid w:val="002068C7"/>
    <w:rsid w:val="00323E80"/>
    <w:rsid w:val="003372E5"/>
    <w:rsid w:val="003750AF"/>
    <w:rsid w:val="00381A8F"/>
    <w:rsid w:val="00430F92"/>
    <w:rsid w:val="004536B4"/>
    <w:rsid w:val="004F113A"/>
    <w:rsid w:val="004F1EC5"/>
    <w:rsid w:val="00515A81"/>
    <w:rsid w:val="005335DD"/>
    <w:rsid w:val="00595864"/>
    <w:rsid w:val="00595E09"/>
    <w:rsid w:val="005F28E5"/>
    <w:rsid w:val="00674FBA"/>
    <w:rsid w:val="006D02E4"/>
    <w:rsid w:val="007216E9"/>
    <w:rsid w:val="007256F2"/>
    <w:rsid w:val="007C6ACB"/>
    <w:rsid w:val="007E2797"/>
    <w:rsid w:val="00800293"/>
    <w:rsid w:val="00820E7E"/>
    <w:rsid w:val="00856091"/>
    <w:rsid w:val="008A04BE"/>
    <w:rsid w:val="008E024D"/>
    <w:rsid w:val="008F0268"/>
    <w:rsid w:val="00902EF8"/>
    <w:rsid w:val="00982DAC"/>
    <w:rsid w:val="009B16B1"/>
    <w:rsid w:val="00A94E45"/>
    <w:rsid w:val="00AD6808"/>
    <w:rsid w:val="00B717AC"/>
    <w:rsid w:val="00BC67AA"/>
    <w:rsid w:val="00BC7BA6"/>
    <w:rsid w:val="00C353C2"/>
    <w:rsid w:val="00C875D2"/>
    <w:rsid w:val="00CB0B2B"/>
    <w:rsid w:val="00CC7926"/>
    <w:rsid w:val="00D4454B"/>
    <w:rsid w:val="00D65DD7"/>
    <w:rsid w:val="00D76C9D"/>
    <w:rsid w:val="00DA4409"/>
    <w:rsid w:val="00E95A08"/>
    <w:rsid w:val="00EA15BD"/>
    <w:rsid w:val="00EA32AC"/>
    <w:rsid w:val="00F93653"/>
    <w:rsid w:val="00FB5D2D"/>
    <w:rsid w:val="00FF0B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F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5A81"/>
    <w:rPr>
      <w:color w:val="808080"/>
    </w:rPr>
  </w:style>
  <w:style w:type="paragraph" w:customStyle="1" w:styleId="111">
    <w:name w:val="111"/>
    <w:rsid w:val="004F113A"/>
    <w:pPr>
      <w:widowControl w:val="0"/>
      <w:jc w:val="both"/>
    </w:pPr>
    <w:rPr>
      <w:rFonts w:cs="Times New Roman"/>
      <w:sz w:val="3276"/>
      <w:szCs w:val="3276"/>
    </w:rPr>
  </w:style>
  <w:style w:type="paragraph" w:customStyle="1" w:styleId="1111">
    <w:name w:val="1111"/>
    <w:rsid w:val="004F113A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1112">
    <w:name w:val="1112"/>
    <w:rsid w:val="00515A81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CDCA-357A-4C83-A0AC-48BABAD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标准名称</vt:lpstr>
    </vt:vector>
  </TitlesOfParts>
  <Company>zle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dell</cp:lastModifiedBy>
  <cp:revision>2</cp:revision>
  <dcterms:created xsi:type="dcterms:W3CDTF">2020-08-07T03:21:00Z</dcterms:created>
  <dcterms:modified xsi:type="dcterms:W3CDTF">2020-08-07T03:21:00Z</dcterms:modified>
</cp:coreProperties>
</file>