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附件四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冷库经营企业运营水平评价指标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一、系统使用率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指统计期内冷库经营企业在线使用“全国冷链运营公共管理平台”相关“系统”（简称“系统”）的比率</w:t>
      </w:r>
    </w:p>
    <w:p>
      <w:pPr>
        <w:ind w:firstLine="63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计算公式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系统使用率=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3581400" cy="590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“系统”管理食品所占仓库容积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总库容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2"/>
            <w:szCs w:val="32"/>
          </w:rPr>
          <m:t>×100%</m:t>
        </m:r>
      </m:oMath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二、质检率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指统计期内冷库经营企业对入库食品查验质检单、或补充进行质量检测，并扫描进入“系统”的比率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计算公式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质检率=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检测入库食品批数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入库食品总批数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2"/>
            <w:szCs w:val="32"/>
          </w:rPr>
          <m:t>×100%</m:t>
        </m:r>
      </m:oMath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362200" cy="5905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（注：同一存货人、同一产地、同一品名、同一时间生产或入库的食品，为一批次。这4个要素有一个不同，则视为不同批次。）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三、温度监控率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指在食品储存期（或统计期）内向“系统”传送冷库温度记录的比率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计算公式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温度监控率=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实际传送温度记录次数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应传送温度记录次数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2"/>
            <w:szCs w:val="32"/>
          </w:rPr>
          <m:t>×100%</m:t>
        </m:r>
      </m:oMath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743200" cy="590550"/>
            <wp:effectExtent l="19050" t="0" r="0" b="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（注：冷库温度采集点，根据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全国冷盟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团体标准《冷链运营管理规范》设置；应向“系统”传送温度采集信息的次数，由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全国冷盟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统一设定。）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四、温度达标率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指在食品储存期（或统计期）内冷库温度达到规定要求的比率</w:t>
      </w:r>
    </w:p>
    <w:p>
      <w:pPr>
        <w:ind w:firstLine="63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计算公式</w:t>
      </w:r>
    </w:p>
    <w:p>
      <w:pPr>
        <w:ind w:firstLine="630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温度达标率=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b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color w:val="000000"/>
                <w:kern w:val="0"/>
                <w:sz w:val="30"/>
                <w:szCs w:val="30"/>
              </w:rPr>
              <m:t>冷库各温度采集点传送温度符合规定要求的点/次</m:t>
            </m:r>
            <m:ctrlPr>
              <w:rPr>
                <w:rFonts w:hint="eastAsia" w:ascii="Cambria Math" w:hAnsi="Cambria Math" w:eastAsiaTheme="minorEastAsia" w:cstheme="minorEastAsia"/>
                <w:b/>
                <w:sz w:val="30"/>
                <w:szCs w:val="30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color w:val="000000"/>
                <w:kern w:val="0"/>
                <w:sz w:val="30"/>
                <w:szCs w:val="30"/>
              </w:rPr>
              <m:t>冷库各温度采集点传送温度的总点/次</m:t>
            </m:r>
            <m:ctrlPr>
              <w:rPr>
                <w:rFonts w:hint="eastAsia" w:ascii="Cambria Math" w:hAnsi="Cambria Math" w:eastAsiaTheme="minorEastAsia" w:cstheme="minorEastAsia"/>
                <w:b/>
                <w:sz w:val="30"/>
                <w:szCs w:val="30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0"/>
            <w:szCs w:val="30"/>
          </w:rPr>
          <m:t>×100%</m:t>
        </m:r>
      </m:oMath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（注：各类食品储存的“规定温度要求”，由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全国冷盟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根据国家相关标准在“系统”中设置，由冷库经营企业在验收入库时选择确认。）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五、损失率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指统计期内冷库经营企业因各种差错、事故造成在库储存食品损失的比率</w:t>
      </w:r>
      <w:bookmarkStart w:id="0" w:name="A02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计算公式</w:t>
      </w:r>
    </w:p>
    <w:p>
      <w:pPr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损失率=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在库损失食品量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在库储存食品总量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2"/>
            <w:szCs w:val="32"/>
          </w:rPr>
          <m:t>×100%</m:t>
        </m:r>
      </m:oMath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743200" cy="590550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（注：食品“损失”指丢失、或腐败变质、污染的食品，按“重量”计算。）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附件五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冷冻冷藏运输企业运营水平评价指标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一、按时送达率</w:t>
      </w:r>
    </w:p>
    <w:p>
      <w:pPr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指统计期内运输企业将指定数量的食品按时送达指定地点的比率</w:t>
      </w:r>
    </w:p>
    <w:p>
      <w:pPr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计算公式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按时送达率=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362200" cy="590550"/>
            <wp:effectExtent l="19050" t="0" r="0" b="0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362200" cy="590550"/>
            <wp:effectExtent l="19050" t="0" r="0" b="0"/>
            <wp:docPr id="1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二、温度监控率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指在食品每次运输（配送）途中（或统计期内）向“系统”传送车箱内各温度采集点温度记录的比率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计算公式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温度监控率=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743200" cy="590550"/>
            <wp:effectExtent l="19050" t="0" r="0" b="0"/>
            <wp:docPr id="1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实际传送温度记录次数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应传送温度记录次数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2"/>
            <w:szCs w:val="32"/>
          </w:rPr>
          <m:t>×100%</m:t>
        </m:r>
      </m:oMath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2743200" cy="590550"/>
            <wp:effectExtent l="19050" t="0" r="0" b="0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（注：运输（配送）车辆温度采集点，根据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全国冷盟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团体标准《冷链运营管理规范》设置；应向“系统”传送温度采集信息的次数，由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全国冷盟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统一设定。）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三、温度达标率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指在食品每次运输（配送）途中（或统计期内）车箱内温度达到规定要求的比率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计算公式</w:t>
      </w:r>
    </w:p>
    <w:p>
      <w:pPr>
        <w:ind w:firstLine="63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温度达标率=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color w:val="000000"/>
                <w:kern w:val="0"/>
                <w:sz w:val="30"/>
                <w:szCs w:val="30"/>
              </w:rPr>
              <m:t>车厢内各温度采集点传送温度符合规定要求的点/次</m:t>
            </m:r>
            <m:ctrlPr>
              <w:rPr>
                <w:rFonts w:hint="eastAsia" w:ascii="Cambria Math" w:hAnsi="Cambria Math" w:eastAsiaTheme="minorEastAsia" w:cstheme="minorEastAsia"/>
                <w:sz w:val="30"/>
                <w:szCs w:val="30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color w:val="000000"/>
                <w:kern w:val="0"/>
                <w:sz w:val="30"/>
                <w:szCs w:val="30"/>
              </w:rPr>
              <m:t>车厢内各温度采集点传送温度的总点/次</m:t>
            </m:r>
            <m:ctrlPr>
              <w:rPr>
                <w:rFonts w:hint="eastAsia" w:ascii="Cambria Math" w:hAnsi="Cambria Math" w:eastAsiaTheme="minorEastAsia" w:cstheme="minorEastAsia"/>
                <w:sz w:val="30"/>
                <w:szCs w:val="30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0"/>
            <w:szCs w:val="30"/>
          </w:rPr>
          <m:t>×100%</m:t>
        </m:r>
      </m:oMath>
    </w:p>
    <w:p>
      <w:pPr>
        <w:ind w:firstLine="63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</w:instrText>
      </w:r>
      <w:r>
        <w:rPr>
          <w:rFonts w:hint="eastAsia" w:asciiTheme="minorEastAsia" w:hAnsiTheme="minorEastAsia" w:eastAsiaTheme="minorEastAsia" w:cstheme="minorEastAsia"/>
          <w:position w:val="-38"/>
          <w:sz w:val="32"/>
          <w:szCs w:val="32"/>
        </w:rPr>
        <w:drawing>
          <wp:inline distT="0" distB="0" distL="0" distR="0">
            <wp:extent cx="3136900" cy="590550"/>
            <wp:effectExtent l="19050" t="0" r="6350" b="0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（注：各类食品运输的“温度规定要求”，由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全国冷盟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根据国家相关标准在“系统”中设置，由冷库经营企业或食品生产、经营企业在食品出库时选择确认。）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四、损失率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指统计期内或每次冷藏（配送）因各种差错、事故造成送达食品损失的比率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计算公式</w:t>
      </w:r>
    </w:p>
    <w:p>
      <w:pPr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损失率=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送达食品损失量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  <m:t>送达食品总量</m:t>
            </m:r>
            <m:ctrlPr>
              <w:rPr>
                <w:rFonts w:hint="eastAsia" w:ascii="Cambria Math" w:hAnsi="Cambria Math" w:eastAsiaTheme="minorEastAsia" w:cstheme="minorEastAsia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32"/>
            <w:szCs w:val="32"/>
          </w:rPr>
          <m:t>×100%</m:t>
        </m:r>
      </m:oMath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</w:rPr>
        <w:t>（注：食品“损失”指丢失、或腐败变质、污染的食品，按“重量”计算。）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 QUOTE 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page"/>
      </w:r>
    </w:p>
    <w:p>
      <w:pPr>
        <w:snapToGrid w:val="0"/>
        <w:spacing w:line="58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附件六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综合冷链企业运营水平评价指标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snapToGrid w:val="0"/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综合冷链企业运营水平评价：按照“冷库经营企业”、“冷藏运输企业”的评价指标分别进行评价。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B06"/>
    <w:rsid w:val="000040FB"/>
    <w:rsid w:val="000544AE"/>
    <w:rsid w:val="00064F60"/>
    <w:rsid w:val="000975A3"/>
    <w:rsid w:val="0011629D"/>
    <w:rsid w:val="00186485"/>
    <w:rsid w:val="001F661F"/>
    <w:rsid w:val="002320AE"/>
    <w:rsid w:val="00335B54"/>
    <w:rsid w:val="003A26C3"/>
    <w:rsid w:val="003D72F3"/>
    <w:rsid w:val="00402821"/>
    <w:rsid w:val="005B2E1C"/>
    <w:rsid w:val="00621D0C"/>
    <w:rsid w:val="0064653A"/>
    <w:rsid w:val="00687B06"/>
    <w:rsid w:val="006C0828"/>
    <w:rsid w:val="006F201E"/>
    <w:rsid w:val="006F682D"/>
    <w:rsid w:val="00791C14"/>
    <w:rsid w:val="00832E46"/>
    <w:rsid w:val="008442E2"/>
    <w:rsid w:val="00926756"/>
    <w:rsid w:val="00991AA1"/>
    <w:rsid w:val="00A00370"/>
    <w:rsid w:val="00AB7EC7"/>
    <w:rsid w:val="00B21223"/>
    <w:rsid w:val="00B96110"/>
    <w:rsid w:val="00BA3358"/>
    <w:rsid w:val="00BE68B5"/>
    <w:rsid w:val="00C833E1"/>
    <w:rsid w:val="00CD69C2"/>
    <w:rsid w:val="00CE4374"/>
    <w:rsid w:val="00E559E5"/>
    <w:rsid w:val="00F16C44"/>
    <w:rsid w:val="13E0246E"/>
    <w:rsid w:val="5D952746"/>
    <w:rsid w:val="7FC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0">
    <w:name w:val="占位符文本1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763</Words>
  <Characters>764</Characters>
  <Lines>44</Lines>
  <Paragraphs>33</Paragraphs>
  <TotalTime>0</TotalTime>
  <ScaleCrop>false</ScaleCrop>
  <LinksUpToDate>false</LinksUpToDate>
  <CharactersWithSpaces>1494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2017-04-13T09:20:00Z</dcterms:created>
  <dc:creator>lizhongliang</dc:creator>
  <cp:lastModifiedBy>Administrator</cp:lastModifiedBy>
  <dcterms:modified xsi:type="dcterms:W3CDTF">2017-05-02T03:04:48Z</dcterms:modified>
  <dc:title>附件四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