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20" w:lineRule="atLeast"/>
        <w:rPr>
          <w:rFonts w:ascii="黑体" w:hAnsi="宋体" w:eastAsia="黑体" w:cs="宋体"/>
          <w:sz w:val="28"/>
          <w:szCs w:val="28"/>
        </w:rPr>
      </w:pPr>
      <w:r>
        <w:rPr>
          <w:rFonts w:hint="eastAsia" w:ascii="黑体" w:hAnsi="仿宋" w:eastAsia="黑体" w:cs="仿宋"/>
          <w:sz w:val="28"/>
          <w:szCs w:val="28"/>
        </w:rPr>
        <w:t>附件十</w:t>
      </w:r>
    </w:p>
    <w:p>
      <w:pPr>
        <w:spacing w:line="220" w:lineRule="atLeast"/>
        <w:jc w:val="center"/>
        <w:rPr>
          <w:rFonts w:ascii="宋体" w:hAnsi="宋体" w:eastAsia="宋体"/>
          <w:b/>
          <w:sz w:val="36"/>
          <w:szCs w:val="36"/>
        </w:rPr>
      </w:pPr>
      <w:r>
        <w:rPr>
          <w:rFonts w:hint="eastAsia" w:ascii="宋体" w:hAnsi="宋体" w:eastAsia="宋体" w:cs="宋体"/>
          <w:b/>
          <w:sz w:val="36"/>
          <w:szCs w:val="36"/>
        </w:rPr>
        <w:t>全国冷链运营标准化评价工作守则</w:t>
      </w:r>
    </w:p>
    <w:p>
      <w:pPr>
        <w:spacing w:after="0" w:line="580" w:lineRule="exact"/>
        <w:rPr>
          <w:rFonts w:ascii="仿宋" w:hAnsi="仿宋" w:eastAsia="仿宋" w:cs="仿宋"/>
          <w:sz w:val="32"/>
          <w:szCs w:val="32"/>
        </w:rPr>
      </w:pPr>
    </w:p>
    <w:p>
      <w:pPr>
        <w:spacing w:after="0" w:line="360" w:lineRule="auto"/>
        <w:rPr>
          <w:rFonts w:ascii="仿宋_GB2312" w:hAnsi="仿宋" w:eastAsia="仿宋_GB2312" w:cs="仿宋"/>
          <w:sz w:val="32"/>
          <w:szCs w:val="32"/>
        </w:rPr>
      </w:pPr>
      <w:r>
        <w:rPr>
          <w:rFonts w:ascii="仿宋" w:hAnsi="仿宋" w:eastAsia="仿宋" w:cs="仿宋"/>
          <w:sz w:val="32"/>
          <w:szCs w:val="32"/>
        </w:rPr>
        <w:t xml:space="preserve">   </w:t>
      </w:r>
      <w:r>
        <w:rPr>
          <w:rFonts w:ascii="仿宋_GB2312" w:hAnsi="仿宋" w:eastAsia="仿宋_GB2312" w:cs="仿宋"/>
          <w:sz w:val="32"/>
          <w:szCs w:val="32"/>
        </w:rPr>
        <w:t xml:space="preserve"> </w:t>
      </w:r>
      <w:r>
        <w:rPr>
          <w:rFonts w:hint="eastAsia" w:ascii="仿宋_GB2312" w:hAnsi="仿宋" w:eastAsia="仿宋_GB2312" w:cs="仿宋"/>
          <w:sz w:val="32"/>
          <w:szCs w:val="32"/>
        </w:rPr>
        <w:t>第一条</w:t>
      </w:r>
      <w:r>
        <w:rPr>
          <w:rFonts w:ascii="仿宋_GB2312" w:hAnsi="仿宋" w:eastAsia="仿宋_GB2312" w:cs="仿宋"/>
          <w:sz w:val="32"/>
          <w:szCs w:val="32"/>
        </w:rPr>
        <w:t xml:space="preserve">  </w:t>
      </w:r>
      <w:r>
        <w:rPr>
          <w:rFonts w:hint="eastAsia" w:ascii="仿宋_GB2312" w:hAnsi="仿宋" w:eastAsia="仿宋_GB2312" w:cs="仿宋"/>
          <w:sz w:val="32"/>
          <w:szCs w:val="32"/>
        </w:rPr>
        <w:t>为做好全国冷链运营标准化评价工作（简称评价工作），根据全国冷链运营联盟执行委员会（分别简称“</w:t>
      </w:r>
      <w:r>
        <w:rPr>
          <w:rFonts w:hint="eastAsia" w:ascii="仿宋_GB2312" w:hAnsi="仿宋" w:eastAsia="仿宋_GB2312" w:cs="仿宋"/>
          <w:sz w:val="32"/>
          <w:szCs w:val="32"/>
          <w:lang w:eastAsia="zh-CN"/>
        </w:rPr>
        <w:t>全国冷盟</w:t>
      </w:r>
      <w:r>
        <w:rPr>
          <w:rFonts w:hint="eastAsia" w:ascii="仿宋_GB2312" w:hAnsi="仿宋" w:eastAsia="仿宋_GB2312" w:cs="仿宋"/>
          <w:sz w:val="32"/>
          <w:szCs w:val="32"/>
        </w:rPr>
        <w:t>”、“执委会”审议通过的“全国冷链运营标准化评价办法”，为规范评定机构及评审员的行为，制定本办法。</w:t>
      </w:r>
    </w:p>
    <w:p>
      <w:pPr>
        <w:spacing w:after="0"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第二条</w:t>
      </w:r>
      <w:r>
        <w:rPr>
          <w:rFonts w:ascii="仿宋_GB2312" w:hAnsi="仿宋" w:eastAsia="仿宋_GB2312" w:cs="仿宋"/>
          <w:sz w:val="32"/>
          <w:szCs w:val="32"/>
        </w:rPr>
        <w:t xml:space="preserve">  </w:t>
      </w:r>
      <w:r>
        <w:rPr>
          <w:rFonts w:hint="eastAsia" w:ascii="仿宋_GB2312" w:hAnsi="仿宋" w:eastAsia="仿宋_GB2312" w:cs="仿宋"/>
          <w:sz w:val="32"/>
          <w:szCs w:val="32"/>
        </w:rPr>
        <w:t>评价工作严格遵守相关国家（行业）标准和</w:t>
      </w:r>
      <w:bookmarkStart w:id="0" w:name="_GoBack"/>
      <w:bookmarkEnd w:id="0"/>
      <w:r>
        <w:rPr>
          <w:rFonts w:hint="eastAsia" w:ascii="仿宋_GB2312" w:hAnsi="仿宋" w:eastAsia="仿宋_GB2312" w:cs="仿宋"/>
          <w:sz w:val="32"/>
          <w:szCs w:val="32"/>
          <w:lang w:eastAsia="zh-CN"/>
        </w:rPr>
        <w:t>全国冷盟</w:t>
      </w:r>
      <w:r>
        <w:rPr>
          <w:rFonts w:hint="eastAsia" w:ascii="仿宋_GB2312" w:hAnsi="仿宋" w:eastAsia="仿宋_GB2312" w:cs="仿宋"/>
          <w:sz w:val="32"/>
          <w:szCs w:val="32"/>
        </w:rPr>
        <w:t>的团体标准《冷链运营管理规范》、《全国冷链运营标准化评价办法》的规定，按照公开、公正、公平、自愿的原则进行，并接受参评企业及社会的监督。</w:t>
      </w:r>
    </w:p>
    <w:p>
      <w:pPr>
        <w:spacing w:line="360" w:lineRule="auto"/>
        <w:ind w:firstLine="31680" w:firstLineChars="150"/>
        <w:rPr>
          <w:rFonts w:ascii="仿宋_GB2312" w:eastAsia="仿宋_GB2312"/>
          <w:sz w:val="32"/>
          <w:szCs w:val="32"/>
        </w:rPr>
      </w:pPr>
      <w:r>
        <w:rPr>
          <w:rFonts w:hint="eastAsia" w:ascii="仿宋_GB2312" w:eastAsia="仿宋_GB2312"/>
          <w:sz w:val="32"/>
          <w:szCs w:val="32"/>
        </w:rPr>
        <w:t>第三条</w:t>
      </w:r>
      <w:r>
        <w:rPr>
          <w:rFonts w:ascii="仿宋_GB2312" w:eastAsia="仿宋_GB2312"/>
          <w:sz w:val="32"/>
          <w:szCs w:val="32"/>
        </w:rPr>
        <w:t xml:space="preserve">  </w:t>
      </w:r>
      <w:r>
        <w:rPr>
          <w:rFonts w:hint="eastAsia" w:ascii="仿宋_GB2312" w:eastAsia="仿宋_GB2312"/>
          <w:sz w:val="32"/>
          <w:szCs w:val="32"/>
        </w:rPr>
        <w:t>维护评价工作的信誉，不得以全国冷链运营评价工作办公室的名义从事任何与评价无关的工作或活动。</w:t>
      </w:r>
    </w:p>
    <w:p>
      <w:pPr>
        <w:spacing w:after="0"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第四条</w:t>
      </w:r>
      <w:r>
        <w:rPr>
          <w:rFonts w:ascii="仿宋_GB2312" w:hAnsi="仿宋" w:eastAsia="仿宋_GB2312" w:cs="仿宋"/>
          <w:sz w:val="32"/>
          <w:szCs w:val="32"/>
        </w:rPr>
        <w:t xml:space="preserve">  </w:t>
      </w:r>
      <w:r>
        <w:rPr>
          <w:rFonts w:hint="eastAsia" w:ascii="仿宋_GB2312" w:hAnsi="仿宋" w:eastAsia="仿宋_GB2312" w:cs="仿宋"/>
          <w:sz w:val="32"/>
          <w:szCs w:val="32"/>
        </w:rPr>
        <w:t>严格收费管理，在开展评价工作中，不得收取《全国冷链运营标准化评价办法》规定以外的任何费用，不得以任何形式对参评企业进行敲诈、勒索、索贿、受贿。</w:t>
      </w:r>
    </w:p>
    <w:p>
      <w:pPr>
        <w:spacing w:after="0" w:line="360" w:lineRule="auto"/>
        <w:ind w:firstLine="31680" w:firstLineChars="200"/>
        <w:rPr>
          <w:rFonts w:ascii="仿宋_GB2312" w:hAnsi="仿宋" w:eastAsia="仿宋_GB2312" w:cs="仿宋"/>
          <w:spacing w:val="-2"/>
          <w:sz w:val="32"/>
          <w:szCs w:val="32"/>
        </w:rPr>
      </w:pPr>
      <w:r>
        <w:rPr>
          <w:rFonts w:hint="eastAsia" w:ascii="仿宋_GB2312" w:hAnsi="仿宋" w:eastAsia="仿宋_GB2312" w:cs="仿宋"/>
          <w:sz w:val="32"/>
          <w:szCs w:val="32"/>
        </w:rPr>
        <w:t>第五条</w:t>
      </w:r>
      <w:r>
        <w:rPr>
          <w:rFonts w:ascii="仿宋_GB2312" w:hAnsi="仿宋" w:eastAsia="仿宋_GB2312" w:cs="仿宋"/>
          <w:sz w:val="32"/>
          <w:szCs w:val="32"/>
        </w:rPr>
        <w:t xml:space="preserve">  </w:t>
      </w:r>
      <w:r>
        <w:rPr>
          <w:rFonts w:hint="eastAsia" w:ascii="仿宋_GB2312" w:hAnsi="仿宋" w:eastAsia="仿宋_GB2312" w:cs="仿宋"/>
          <w:sz w:val="32"/>
          <w:szCs w:val="32"/>
        </w:rPr>
        <w:t>维护参评企业的合法权益，对参评企业确认</w:t>
      </w:r>
      <w:r>
        <w:rPr>
          <w:rFonts w:hint="eastAsia" w:ascii="仿宋_GB2312" w:hAnsi="仿宋" w:eastAsia="仿宋_GB2312" w:cs="仿宋"/>
          <w:spacing w:val="-2"/>
          <w:sz w:val="32"/>
          <w:szCs w:val="32"/>
        </w:rPr>
        <w:t>的商业秘密，未经参评企业的允许，不得擅自泄露与发布。</w:t>
      </w:r>
    </w:p>
    <w:p>
      <w:pPr>
        <w:spacing w:after="0"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第六条</w:t>
      </w:r>
      <w:r>
        <w:rPr>
          <w:rFonts w:ascii="仿宋_GB2312" w:hAnsi="仿宋" w:eastAsia="仿宋_GB2312" w:cs="仿宋"/>
          <w:sz w:val="32"/>
          <w:szCs w:val="32"/>
        </w:rPr>
        <w:t xml:space="preserve">  </w:t>
      </w:r>
      <w:r>
        <w:rPr>
          <w:rFonts w:hint="eastAsia" w:ascii="仿宋_GB2312" w:hAnsi="仿宋" w:eastAsia="仿宋_GB2312" w:cs="仿宋"/>
          <w:sz w:val="32"/>
          <w:szCs w:val="32"/>
        </w:rPr>
        <w:t>根据全国冷链运营评价工作的需要，“全国冷链运营标准化评价工作办公室”（以下简称“全国评价办”）</w:t>
      </w:r>
      <w:r>
        <w:rPr>
          <w:rFonts w:ascii="仿宋_GB2312" w:hAnsi="仿宋" w:eastAsia="仿宋_GB2312" w:cs="仿宋"/>
          <w:sz w:val="32"/>
          <w:szCs w:val="32"/>
        </w:rPr>
        <w:t xml:space="preserve"> </w:t>
      </w:r>
      <w:r>
        <w:rPr>
          <w:rFonts w:hint="eastAsia" w:ascii="仿宋_GB2312" w:hAnsi="仿宋" w:eastAsia="仿宋_GB2312" w:cs="仿宋"/>
          <w:sz w:val="32"/>
          <w:szCs w:val="32"/>
        </w:rPr>
        <w:t>授权设立地区性评价机构，各地方评定机构的评审员人数不少于</w:t>
      </w:r>
      <w:r>
        <w:rPr>
          <w:rFonts w:ascii="仿宋_GB2312" w:hAnsi="仿宋" w:eastAsia="仿宋_GB2312" w:cs="仿宋"/>
          <w:sz w:val="32"/>
          <w:szCs w:val="32"/>
        </w:rPr>
        <w:t>3</w:t>
      </w:r>
      <w:r>
        <w:rPr>
          <w:rFonts w:hint="eastAsia" w:ascii="仿宋_GB2312" w:hAnsi="仿宋" w:eastAsia="仿宋_GB2312" w:cs="仿宋"/>
          <w:sz w:val="32"/>
          <w:szCs w:val="32"/>
        </w:rPr>
        <w:t>名。</w:t>
      </w:r>
    </w:p>
    <w:p>
      <w:pPr>
        <w:spacing w:after="0" w:line="360" w:lineRule="auto"/>
        <w:rPr>
          <w:rFonts w:ascii="仿宋_GB2312" w:hAnsi="仿宋" w:eastAsia="仿宋_GB2312" w:cs="仿宋"/>
          <w:sz w:val="32"/>
          <w:szCs w:val="32"/>
        </w:rPr>
      </w:pPr>
      <w:r>
        <w:rPr>
          <w:rFonts w:ascii="仿宋_GB2312" w:hAnsi="仿宋" w:eastAsia="仿宋_GB2312" w:cs="仿宋"/>
          <w:sz w:val="32"/>
          <w:szCs w:val="32"/>
        </w:rPr>
        <w:t xml:space="preserve">    </w:t>
      </w:r>
      <w:r>
        <w:rPr>
          <w:rFonts w:hint="eastAsia" w:ascii="仿宋_GB2312" w:hAnsi="仿宋" w:eastAsia="仿宋_GB2312" w:cs="仿宋"/>
          <w:sz w:val="32"/>
          <w:szCs w:val="32"/>
        </w:rPr>
        <w:t>第七条</w:t>
      </w:r>
      <w:r>
        <w:rPr>
          <w:rFonts w:ascii="仿宋_GB2312" w:hAnsi="仿宋" w:eastAsia="仿宋_GB2312" w:cs="仿宋"/>
          <w:sz w:val="32"/>
          <w:szCs w:val="32"/>
        </w:rPr>
        <w:t xml:space="preserve">  </w:t>
      </w:r>
      <w:r>
        <w:rPr>
          <w:rFonts w:hint="eastAsia" w:ascii="仿宋_GB2312" w:hAnsi="仿宋" w:eastAsia="仿宋_GB2312" w:cs="仿宋"/>
          <w:sz w:val="32"/>
          <w:szCs w:val="32"/>
        </w:rPr>
        <w:t>地方评定机构和评审员接受全国评价办管理与备案。</w:t>
      </w:r>
    </w:p>
    <w:p>
      <w:pPr>
        <w:spacing w:after="0"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第八条</w:t>
      </w:r>
      <w:r>
        <w:rPr>
          <w:rFonts w:ascii="仿宋_GB2312" w:hAnsi="仿宋" w:eastAsia="仿宋_GB2312" w:cs="仿宋"/>
          <w:sz w:val="32"/>
          <w:szCs w:val="32"/>
        </w:rPr>
        <w:t xml:space="preserve">  </w:t>
      </w:r>
      <w:r>
        <w:rPr>
          <w:rFonts w:hint="eastAsia" w:ascii="仿宋_GB2312" w:hAnsi="仿宋" w:eastAsia="仿宋_GB2312" w:cs="仿宋"/>
          <w:sz w:val="32"/>
          <w:szCs w:val="32"/>
        </w:rPr>
        <w:t>地方评定机构撤销后，由全国评价办解除对该地区评定机构的授权、收回评审员证书、并在全国冷链运营公共管理平台和中国仓储与配送协会网站上公告。</w:t>
      </w:r>
    </w:p>
    <w:p>
      <w:pPr>
        <w:spacing w:after="0"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第九条</w:t>
      </w:r>
      <w:r>
        <w:rPr>
          <w:rFonts w:ascii="仿宋_GB2312" w:hAnsi="仿宋" w:eastAsia="仿宋_GB2312" w:cs="仿宋"/>
          <w:sz w:val="32"/>
          <w:szCs w:val="32"/>
        </w:rPr>
        <w:t xml:space="preserve">  </w:t>
      </w:r>
      <w:r>
        <w:rPr>
          <w:rFonts w:hint="eastAsia" w:ascii="仿宋_GB2312" w:hAnsi="仿宋" w:eastAsia="仿宋_GB2312" w:cs="仿宋"/>
          <w:sz w:val="32"/>
          <w:szCs w:val="32"/>
        </w:rPr>
        <w:t>评审员可由发起成立“</w:t>
      </w:r>
      <w:r>
        <w:rPr>
          <w:rFonts w:hint="eastAsia" w:ascii="仿宋_GB2312" w:hAnsi="仿宋" w:eastAsia="仿宋_GB2312" w:cs="仿宋"/>
          <w:sz w:val="32"/>
          <w:szCs w:val="32"/>
          <w:lang w:eastAsia="zh-CN"/>
        </w:rPr>
        <w:t>全国冷盟</w:t>
      </w:r>
      <w:r>
        <w:rPr>
          <w:rFonts w:hint="eastAsia" w:ascii="仿宋_GB2312" w:hAnsi="仿宋" w:eastAsia="仿宋_GB2312" w:cs="仿宋"/>
          <w:sz w:val="32"/>
          <w:szCs w:val="32"/>
        </w:rPr>
        <w:t>”的全国性行业组织，向“全国评价办”推荐兼职评审人员或地区性评定机构推荐的方式报名，填写评审员登记表，经地区性评定机构审核后，报全国评价办。评审员须参加由全国评价办组织的培训，经考试合格后，由全国评价办颁发评审员资格证书方可参加评审工作。</w:t>
      </w:r>
    </w:p>
    <w:p>
      <w:pPr>
        <w:spacing w:after="0"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第十条</w:t>
      </w:r>
      <w:r>
        <w:rPr>
          <w:rFonts w:ascii="仿宋_GB2312" w:hAnsi="仿宋" w:eastAsia="仿宋_GB2312" w:cs="仿宋"/>
          <w:sz w:val="32"/>
          <w:szCs w:val="32"/>
        </w:rPr>
        <w:t xml:space="preserve">  </w:t>
      </w:r>
      <w:r>
        <w:rPr>
          <w:rFonts w:hint="eastAsia" w:ascii="仿宋_GB2312" w:hAnsi="仿宋" w:eastAsia="仿宋_GB2312" w:cs="仿宋"/>
          <w:sz w:val="32"/>
          <w:szCs w:val="32"/>
        </w:rPr>
        <w:t>评审员在全国评价办和地区性评定办公室的组织下承担现场评审工作、填写评审表。与被评企业有组织、经济关系时，需声明并主动回避。</w:t>
      </w:r>
    </w:p>
    <w:p>
      <w:pPr>
        <w:spacing w:after="0"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第十一条</w:t>
      </w:r>
      <w:r>
        <w:rPr>
          <w:rFonts w:ascii="仿宋_GB2312" w:hAnsi="仿宋" w:eastAsia="仿宋_GB2312" w:cs="仿宋"/>
          <w:sz w:val="32"/>
          <w:szCs w:val="32"/>
        </w:rPr>
        <w:t xml:space="preserve">  </w:t>
      </w:r>
      <w:r>
        <w:rPr>
          <w:rFonts w:hint="eastAsia" w:ascii="仿宋_GB2312" w:hAnsi="仿宋" w:eastAsia="仿宋_GB2312" w:cs="仿宋"/>
          <w:sz w:val="32"/>
          <w:szCs w:val="32"/>
        </w:rPr>
        <w:t>评审员资格有效期为一年，如果继续担任需要每年</w:t>
      </w:r>
      <w:r>
        <w:rPr>
          <w:rFonts w:ascii="仿宋_GB2312" w:hAnsi="仿宋" w:eastAsia="仿宋_GB2312" w:cs="仿宋"/>
          <w:sz w:val="32"/>
          <w:szCs w:val="32"/>
        </w:rPr>
        <w:t>12</w:t>
      </w:r>
      <w:r>
        <w:rPr>
          <w:rFonts w:hint="eastAsia" w:ascii="仿宋_GB2312" w:hAnsi="仿宋" w:eastAsia="仿宋_GB2312" w:cs="仿宋"/>
          <w:sz w:val="32"/>
          <w:szCs w:val="32"/>
        </w:rPr>
        <w:t>月进行评审员年检注册，对于上一年出现违反本守则等问题的评审员不予注册。</w:t>
      </w:r>
    </w:p>
    <w:p>
      <w:pPr>
        <w:spacing w:after="0" w:line="360" w:lineRule="auto"/>
        <w:rPr>
          <w:rFonts w:ascii="仿宋_GB2312" w:hAnsi="仿宋" w:eastAsia="仿宋_GB2312" w:cs="仿宋"/>
          <w:sz w:val="32"/>
          <w:szCs w:val="32"/>
        </w:rPr>
      </w:pPr>
      <w:r>
        <w:rPr>
          <w:rFonts w:ascii="仿宋_GB2312" w:hAnsi="仿宋" w:eastAsia="仿宋_GB2312" w:cs="仿宋"/>
          <w:sz w:val="32"/>
          <w:szCs w:val="32"/>
        </w:rPr>
        <w:t xml:space="preserve">    </w:t>
      </w:r>
      <w:r>
        <w:rPr>
          <w:rFonts w:hint="eastAsia" w:ascii="仿宋_GB2312" w:hAnsi="仿宋" w:eastAsia="仿宋_GB2312" w:cs="仿宋"/>
          <w:sz w:val="32"/>
          <w:szCs w:val="32"/>
        </w:rPr>
        <w:t>第十二条</w:t>
      </w:r>
      <w:r>
        <w:rPr>
          <w:rFonts w:ascii="仿宋_GB2312" w:hAnsi="仿宋" w:eastAsia="仿宋_GB2312" w:cs="仿宋"/>
          <w:sz w:val="32"/>
          <w:szCs w:val="32"/>
        </w:rPr>
        <w:t xml:space="preserve">  </w:t>
      </w:r>
      <w:r>
        <w:rPr>
          <w:rFonts w:hint="eastAsia" w:ascii="仿宋_GB2312" w:hAnsi="仿宋" w:eastAsia="仿宋_GB2312" w:cs="仿宋"/>
          <w:sz w:val="32"/>
          <w:szCs w:val="32"/>
        </w:rPr>
        <w:t>评审员差旅费由申报企业实报实销。评审员评审补助由全国评价办或地区性评定办公室从收取的评审费用中支付，支付标准为评审员每人每个企业</w:t>
      </w:r>
      <w:r>
        <w:rPr>
          <w:rFonts w:ascii="仿宋_GB2312" w:hAnsi="仿宋" w:eastAsia="仿宋_GB2312" w:cs="仿宋"/>
          <w:sz w:val="32"/>
          <w:szCs w:val="32"/>
        </w:rPr>
        <w:t>600</w:t>
      </w:r>
      <w:r>
        <w:rPr>
          <w:rFonts w:hint="eastAsia" w:ascii="仿宋_GB2312" w:hAnsi="仿宋" w:eastAsia="仿宋_GB2312" w:cs="仿宋"/>
          <w:sz w:val="32"/>
          <w:szCs w:val="32"/>
        </w:rPr>
        <w:t>元，评审组长</w:t>
      </w:r>
      <w:r>
        <w:rPr>
          <w:rFonts w:ascii="仿宋_GB2312" w:hAnsi="仿宋" w:eastAsia="仿宋_GB2312" w:cs="仿宋"/>
          <w:sz w:val="32"/>
          <w:szCs w:val="32"/>
        </w:rPr>
        <w:t>800</w:t>
      </w:r>
      <w:r>
        <w:rPr>
          <w:rFonts w:hint="eastAsia" w:ascii="仿宋_GB2312" w:hAnsi="仿宋" w:eastAsia="仿宋_GB2312" w:cs="仿宋"/>
          <w:sz w:val="32"/>
          <w:szCs w:val="32"/>
        </w:rPr>
        <w:t>元。</w:t>
      </w:r>
    </w:p>
    <w:p>
      <w:pPr>
        <w:spacing w:after="0" w:line="360" w:lineRule="auto"/>
        <w:ind w:firstLine="31680" w:firstLineChars="200"/>
        <w:rPr>
          <w:rFonts w:ascii="仿宋_GB2312" w:hAnsi="仿宋" w:eastAsia="仿宋_GB2312" w:cs="仿宋"/>
          <w:sz w:val="32"/>
          <w:szCs w:val="32"/>
        </w:rPr>
      </w:pPr>
      <w:r>
        <w:rPr>
          <w:rFonts w:hint="eastAsia" w:ascii="仿宋_GB2312" w:hAnsi="仿宋" w:eastAsia="仿宋_GB2312" w:cs="仿宋"/>
          <w:sz w:val="32"/>
          <w:szCs w:val="32"/>
        </w:rPr>
        <w:t>第十三条</w:t>
      </w:r>
      <w:r>
        <w:rPr>
          <w:rFonts w:ascii="仿宋_GB2312" w:hAnsi="仿宋" w:eastAsia="仿宋_GB2312" w:cs="仿宋"/>
          <w:sz w:val="32"/>
          <w:szCs w:val="32"/>
        </w:rPr>
        <w:t xml:space="preserve">  </w:t>
      </w:r>
      <w:r>
        <w:rPr>
          <w:rFonts w:hint="eastAsia" w:ascii="仿宋_GB2312" w:hAnsi="仿宋" w:eastAsia="仿宋_GB2312" w:cs="仿宋"/>
          <w:sz w:val="32"/>
          <w:szCs w:val="32"/>
        </w:rPr>
        <w:t>违反评审工作要求的评审员，经全国评价办查证属实，可提出批评、警告、直至撤销其评审员资格，必要时，可依法追究其法律责任。</w:t>
      </w:r>
      <w:r>
        <w:rPr>
          <w:rFonts w:ascii="仿宋_GB2312" w:hAnsi="仿宋" w:eastAsia="仿宋_GB2312" w:cs="仿宋"/>
          <w:sz w:val="32"/>
          <w:szCs w:val="32"/>
        </w:rPr>
        <w:t xml:space="preserve"> </w:t>
      </w:r>
    </w:p>
    <w:p>
      <w:pPr>
        <w:spacing w:after="0" w:line="360" w:lineRule="auto"/>
        <w:ind w:firstLine="31680" w:firstLineChars="200"/>
        <w:jc w:val="both"/>
        <w:rPr>
          <w:rFonts w:ascii="仿宋_GB2312" w:hAnsi="仿宋" w:eastAsia="仿宋_GB2312" w:cs="仿宋"/>
          <w:sz w:val="32"/>
          <w:szCs w:val="32"/>
        </w:rPr>
      </w:pPr>
      <w:r>
        <w:rPr>
          <w:rFonts w:hint="eastAsia" w:ascii="仿宋_GB2312" w:hAnsi="仿宋" w:eastAsia="仿宋_GB2312" w:cs="仿宋"/>
          <w:sz w:val="32"/>
          <w:szCs w:val="32"/>
        </w:rPr>
        <w:t>第十四条</w:t>
      </w:r>
      <w:r>
        <w:rPr>
          <w:rFonts w:ascii="仿宋_GB2312" w:hAnsi="仿宋" w:eastAsia="仿宋_GB2312" w:cs="仿宋"/>
          <w:sz w:val="32"/>
          <w:szCs w:val="32"/>
        </w:rPr>
        <w:t xml:space="preserve">  </w:t>
      </w:r>
      <w:r>
        <w:rPr>
          <w:rFonts w:hint="eastAsia" w:ascii="仿宋_GB2312" w:hAnsi="仿宋" w:eastAsia="仿宋_GB2312" w:cs="仿宋"/>
          <w:sz w:val="32"/>
          <w:szCs w:val="32"/>
        </w:rPr>
        <w:t>出现本守则未涉及的其他违法现象，查证核实后报“执委会”研究处理。</w:t>
      </w:r>
    </w:p>
    <w:p>
      <w:pPr>
        <w:spacing w:after="0" w:line="360" w:lineRule="auto"/>
        <w:ind w:firstLine="31680" w:firstLineChars="200"/>
        <w:jc w:val="both"/>
        <w:rPr>
          <w:rFonts w:ascii="仿宋_GB2312" w:hAnsi="仿宋" w:eastAsia="仿宋_GB2312" w:cs="仿宋"/>
          <w:sz w:val="32"/>
          <w:szCs w:val="32"/>
        </w:rPr>
      </w:pPr>
      <w:r>
        <w:rPr>
          <w:rFonts w:hint="eastAsia" w:ascii="仿宋_GB2312" w:hAnsi="仿宋" w:eastAsia="仿宋_GB2312" w:cs="仿宋"/>
          <w:sz w:val="32"/>
          <w:szCs w:val="32"/>
        </w:rPr>
        <w:t>第十五条</w:t>
      </w:r>
      <w:r>
        <w:rPr>
          <w:rFonts w:ascii="仿宋_GB2312" w:hAnsi="仿宋" w:eastAsia="仿宋_GB2312" w:cs="仿宋"/>
          <w:sz w:val="32"/>
          <w:szCs w:val="32"/>
        </w:rPr>
        <w:t xml:space="preserve">  </w:t>
      </w:r>
      <w:r>
        <w:rPr>
          <w:rFonts w:hint="eastAsia" w:ascii="仿宋_GB2312" w:hAnsi="仿宋" w:eastAsia="仿宋_GB2312" w:cs="仿宋"/>
          <w:sz w:val="32"/>
          <w:szCs w:val="32"/>
        </w:rPr>
        <w:t>本办法与《全国冷链运营标准化评价办法》同时执行，解释权属“执委会”。</w:t>
      </w:r>
    </w:p>
    <w:sectPr>
      <w:pgSz w:w="11906" w:h="16838"/>
      <w:pgMar w:top="1440" w:right="1800" w:bottom="1440" w:left="1800"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A00002EF" w:usb1="4000004B" w:usb2="00000000" w:usb3="00000000" w:csb0="2000009F" w:csb1="00000000"/>
  </w:font>
  <w:font w:name="Calibri">
    <w:panose1 w:val="020F0502020204030204"/>
    <w:charset w:val="00"/>
    <w:family w:val="swiss"/>
    <w:pitch w:val="default"/>
    <w:sig w:usb0="A00002EF" w:usb1="4000207B" w:usb2="00000000" w:usb3="00000000" w:csb0="2000009F" w:csb1="00000000"/>
  </w:font>
  <w:font w:name="微软雅黑">
    <w:panose1 w:val="020B0503020204020204"/>
    <w:charset w:val="86"/>
    <w:family w:val="swiss"/>
    <w:pitch w:val="default"/>
    <w:sig w:usb0="80000287" w:usb1="1A0F3C52" w:usb2="00000010" w:usb3="00000000" w:csb0="0004001F" w:csb1="00000000"/>
  </w:font>
  <w:font w:name="Tahoma">
    <w:panose1 w:val="020B0604030504040204"/>
    <w:charset w:val="00"/>
    <w:family w:val="swiss"/>
    <w:pitch w:val="default"/>
    <w:sig w:usb0="61007A87" w:usb1="80000000" w:usb2="00000008" w:usb3="00000000" w:csb0="200101FF" w:csb1="20280000"/>
  </w:font>
  <w:font w:name="仿宋">
    <w:altName w:val="微软雅黑"/>
    <w:panose1 w:val="00000000000000000000"/>
    <w:charset w:val="86"/>
    <w:family w:val="modern"/>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720"/>
  <w:doNotHyphenateCaps/>
  <w:characterSpacingControl w:val="doNotCompress"/>
  <w:noLineBreaksAfter w:lang="zh-CN" w:val="$([{£¥·‘“〈《「『【〔〖〝﹙﹛﹝＄（．［｛￡￥"/>
  <w:noLineBreaksBefore w:lang="zh-CN" w:val="!%),.:;&gt;?]}¢¨°·ˇˉ―‖’”…‰′″›℃∶、。〃〉》」』】〕〗〞︶︺︾﹀﹄﹚﹜﹞！＂％＇），．：；？］｀｜｝～￠"/>
  <w:doNotValidateAgainstSchema/>
  <w:doNotDemarcateInvalidXml/>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31D50"/>
    <w:rsid w:val="00004EB5"/>
    <w:rsid w:val="000335CD"/>
    <w:rsid w:val="000B33F6"/>
    <w:rsid w:val="000C654B"/>
    <w:rsid w:val="0011039A"/>
    <w:rsid w:val="001D0C08"/>
    <w:rsid w:val="001E7AE7"/>
    <w:rsid w:val="002662D5"/>
    <w:rsid w:val="002A1F8D"/>
    <w:rsid w:val="002C5463"/>
    <w:rsid w:val="0030087F"/>
    <w:rsid w:val="00323B43"/>
    <w:rsid w:val="00340DB3"/>
    <w:rsid w:val="00352FA4"/>
    <w:rsid w:val="00357B2C"/>
    <w:rsid w:val="00364777"/>
    <w:rsid w:val="003D37D8"/>
    <w:rsid w:val="003E0D58"/>
    <w:rsid w:val="00421E11"/>
    <w:rsid w:val="00426133"/>
    <w:rsid w:val="004358AB"/>
    <w:rsid w:val="00446E8D"/>
    <w:rsid w:val="00470B6B"/>
    <w:rsid w:val="00521D0E"/>
    <w:rsid w:val="0054688D"/>
    <w:rsid w:val="00552406"/>
    <w:rsid w:val="0057792D"/>
    <w:rsid w:val="005A3927"/>
    <w:rsid w:val="0077077B"/>
    <w:rsid w:val="00775DF6"/>
    <w:rsid w:val="007E7B51"/>
    <w:rsid w:val="00823865"/>
    <w:rsid w:val="008349DA"/>
    <w:rsid w:val="00857A89"/>
    <w:rsid w:val="008B7726"/>
    <w:rsid w:val="008E1741"/>
    <w:rsid w:val="00922691"/>
    <w:rsid w:val="00923671"/>
    <w:rsid w:val="009F64E7"/>
    <w:rsid w:val="00A01F91"/>
    <w:rsid w:val="00A61E38"/>
    <w:rsid w:val="00AC20ED"/>
    <w:rsid w:val="00AD0218"/>
    <w:rsid w:val="00B049DB"/>
    <w:rsid w:val="00B04F1E"/>
    <w:rsid w:val="00B378C8"/>
    <w:rsid w:val="00B56934"/>
    <w:rsid w:val="00B72E3C"/>
    <w:rsid w:val="00C10FD6"/>
    <w:rsid w:val="00C817E0"/>
    <w:rsid w:val="00C8664F"/>
    <w:rsid w:val="00C97751"/>
    <w:rsid w:val="00CE62B4"/>
    <w:rsid w:val="00CF5326"/>
    <w:rsid w:val="00D31C9F"/>
    <w:rsid w:val="00D31D50"/>
    <w:rsid w:val="00D951D3"/>
    <w:rsid w:val="00DC6977"/>
    <w:rsid w:val="00E0238D"/>
    <w:rsid w:val="00E44A94"/>
    <w:rsid w:val="00E757AA"/>
    <w:rsid w:val="00E85E26"/>
    <w:rsid w:val="00EB6C4B"/>
    <w:rsid w:val="00EF062E"/>
    <w:rsid w:val="00F001ED"/>
    <w:rsid w:val="00F1639B"/>
    <w:rsid w:val="00F21061"/>
    <w:rsid w:val="00F3365F"/>
    <w:rsid w:val="00F50641"/>
    <w:rsid w:val="00FD1FDE"/>
    <w:rsid w:val="00FE4B2F"/>
    <w:rsid w:val="234A0B07"/>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微软雅黑"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unhideWhenUsed="0" w:uiPriority="99" w:name="header"/>
    <w:lsdException w:qFormat="1" w:unhideWhenUsed="0" w:uiPriority="99"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pPr>
    <w:rPr>
      <w:rFonts w:ascii="Tahoma" w:hAnsi="Tahoma" w:eastAsia="微软雅黑" w:cs="Tahoma"/>
      <w:kern w:val="0"/>
      <w:sz w:val="22"/>
      <w:szCs w:val="22"/>
      <w:lang w:val="en-US" w:eastAsia="zh-CN" w:bidi="ar-SA"/>
    </w:rPr>
  </w:style>
  <w:style w:type="character" w:default="1" w:styleId="4">
    <w:name w:val="Default Paragraph Font"/>
    <w:semiHidden/>
    <w:uiPriority w:val="99"/>
  </w:style>
  <w:style w:type="table" w:default="1" w:styleId="5">
    <w:name w:val="Normal Table"/>
    <w:unhideWhenUsed/>
    <w:qFormat/>
    <w:uiPriority w:val="99"/>
    <w:tblPr>
      <w:tblLayout w:type="fixed"/>
      <w:tblCellMar>
        <w:top w:w="0" w:type="dxa"/>
        <w:left w:w="108" w:type="dxa"/>
        <w:bottom w:w="0" w:type="dxa"/>
        <w:right w:w="108" w:type="dxa"/>
      </w:tblCellMar>
    </w:tblPr>
  </w:style>
  <w:style w:type="paragraph" w:styleId="2">
    <w:name w:val="footer"/>
    <w:basedOn w:val="1"/>
    <w:link w:val="7"/>
    <w:semiHidden/>
    <w:qFormat/>
    <w:uiPriority w:val="99"/>
    <w:pPr>
      <w:tabs>
        <w:tab w:val="center" w:pos="4153"/>
        <w:tab w:val="right" w:pos="8306"/>
      </w:tabs>
    </w:pPr>
    <w:rPr>
      <w:sz w:val="18"/>
      <w:szCs w:val="18"/>
    </w:rPr>
  </w:style>
  <w:style w:type="paragraph" w:styleId="3">
    <w:name w:val="header"/>
    <w:basedOn w:val="1"/>
    <w:link w:val="6"/>
    <w:semiHidden/>
    <w:uiPriority w:val="99"/>
    <w:pPr>
      <w:pBdr>
        <w:bottom w:val="single" w:color="auto" w:sz="6" w:space="1"/>
      </w:pBdr>
      <w:tabs>
        <w:tab w:val="center" w:pos="4153"/>
        <w:tab w:val="right" w:pos="8306"/>
      </w:tabs>
      <w:jc w:val="center"/>
    </w:pPr>
    <w:rPr>
      <w:sz w:val="18"/>
      <w:szCs w:val="18"/>
    </w:rPr>
  </w:style>
  <w:style w:type="character" w:customStyle="1" w:styleId="6">
    <w:name w:val="Header Char"/>
    <w:basedOn w:val="4"/>
    <w:link w:val="3"/>
    <w:semiHidden/>
    <w:qFormat/>
    <w:locked/>
    <w:uiPriority w:val="99"/>
    <w:rPr>
      <w:rFonts w:ascii="Tahoma" w:hAnsi="Tahoma" w:cs="Tahoma"/>
      <w:sz w:val="18"/>
      <w:szCs w:val="18"/>
    </w:rPr>
  </w:style>
  <w:style w:type="character" w:customStyle="1" w:styleId="7">
    <w:name w:val="Footer Char"/>
    <w:basedOn w:val="4"/>
    <w:link w:val="2"/>
    <w:semiHidden/>
    <w:locked/>
    <w:uiPriority w:val="99"/>
    <w:rPr>
      <w:rFonts w:ascii="Tahoma" w:hAnsi="Tahoma" w:cs="Tahoma"/>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Pages>3</Pages>
  <Words>164</Words>
  <Characters>941</Characters>
  <Lines>0</Lines>
  <Paragraphs>0</Paragraphs>
  <TotalTime>0</TotalTime>
  <ScaleCrop>false</ScaleCrop>
  <LinksUpToDate>false</LinksUpToDate>
  <CharactersWithSpaces>0</CharactersWithSpaces>
  <Application>WPS Office_10.1.0.6393_F1E327BC-269C-435d-A152-05C5408002CA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2008-09-11T17:20:00Z</dcterms:created>
  <dc:creator>lizhongliang</dc:creator>
  <cp:lastModifiedBy>Administrator</cp:lastModifiedBy>
  <cp:lastPrinted>2017-04-25T08:30:00Z</cp:lastPrinted>
  <dcterms:modified xsi:type="dcterms:W3CDTF">2017-05-02T02:53:39Z</dcterms:modified>
  <cp:revision>19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